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8C" w:rsidRPr="002B208F" w:rsidRDefault="00E52E8C" w:rsidP="00E52E8C">
      <w:pPr>
        <w:jc w:val="center"/>
        <w:rPr>
          <w:rFonts w:ascii="ＭＳ ゴシック" w:eastAsia="ＭＳ ゴシック" w:hAnsi="ＭＳ ゴシック" w:cs="ＭＳ Ｐゴシック" w:hint="eastAsia"/>
          <w:bCs/>
          <w:kern w:val="0"/>
          <w:szCs w:val="21"/>
        </w:rPr>
      </w:pPr>
      <w:bookmarkStart w:id="0" w:name="_GoBack"/>
      <w:bookmarkEnd w:id="0"/>
      <w:r w:rsidRPr="002B208F">
        <w:rPr>
          <w:rFonts w:ascii="ＭＳ ゴシック" w:eastAsia="ＭＳ ゴシック" w:hAnsi="ＭＳ ゴシック" w:cs="ＭＳ Ｐゴシック" w:hint="eastAsia"/>
          <w:bCs/>
          <w:kern w:val="0"/>
          <w:szCs w:val="21"/>
        </w:rPr>
        <w:t>活動計算書（活動予算書）の科目例</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4"/>
      </w:tblGrid>
      <w:tr w:rsidR="00E52E8C" w:rsidRPr="002B208F" w:rsidTr="000D441B">
        <w:tc>
          <w:tcPr>
            <w:tcW w:w="9464" w:type="dxa"/>
          </w:tcPr>
          <w:p w:rsidR="00E52E8C" w:rsidRPr="002B208F" w:rsidRDefault="00E52E8C" w:rsidP="00862A7B">
            <w:pPr>
              <w:spacing w:beforeLines="20" w:before="62" w:afterLines="20" w:after="62" w:line="0" w:lineRule="atLeast"/>
              <w:ind w:firstLineChars="100" w:firstLine="207"/>
              <w:rPr>
                <w:rFonts w:ascii="ＭＳ 明朝" w:hAnsi="ＭＳ 明朝" w:cs="ＭＳ Ｐゴシック" w:hint="eastAsia"/>
                <w:bCs/>
                <w:kern w:val="0"/>
                <w:szCs w:val="21"/>
              </w:rPr>
            </w:pPr>
            <w:r w:rsidRPr="002B208F">
              <w:rPr>
                <w:rFonts w:ascii="ＭＳ ゴシック" w:eastAsia="ＭＳ ゴシック" w:hAnsi="ＭＳ ゴシック" w:cs="ＭＳ Ｐゴシック" w:hint="eastAsia"/>
                <w:bCs/>
                <w:kern w:val="0"/>
                <w:szCs w:val="21"/>
              </w:rPr>
              <w:t>以下に示すものは、一般によく使われると思われる科目のうち、主なものを</w:t>
            </w:r>
            <w:r w:rsidR="00862A7B" w:rsidRPr="002B208F">
              <w:rPr>
                <w:rFonts w:ascii="ＭＳ ゴシック" w:eastAsia="ＭＳ ゴシック" w:hAnsi="ＭＳ ゴシック" w:cs="ＭＳ Ｐゴシック" w:hint="eastAsia"/>
                <w:bCs/>
                <w:kern w:val="0"/>
                <w:szCs w:val="21"/>
              </w:rPr>
              <w:t>例示</w:t>
            </w:r>
            <w:r w:rsidRPr="002B208F">
              <w:rPr>
                <w:rFonts w:ascii="ＭＳ ゴシック" w:eastAsia="ＭＳ ゴシック" w:hAnsi="ＭＳ ゴシック" w:cs="ＭＳ Ｐゴシック" w:hint="eastAsia"/>
                <w:bCs/>
                <w:kern w:val="0"/>
                <w:szCs w:val="21"/>
              </w:rPr>
              <w:t>したものです。したがって、該当がない場合は使用する必要はありませんし、利用者の理解に支障がなければまとめても</w:t>
            </w:r>
            <w:r w:rsidR="00862A7B" w:rsidRPr="002B208F">
              <w:rPr>
                <w:rFonts w:ascii="ＭＳ ゴシック" w:eastAsia="ＭＳ ゴシック" w:hAnsi="ＭＳ ゴシック" w:cs="ＭＳ Ｐゴシック" w:hint="eastAsia"/>
                <w:bCs/>
                <w:kern w:val="0"/>
                <w:szCs w:val="21"/>
              </w:rPr>
              <w:t>構い</w:t>
            </w:r>
            <w:r w:rsidRPr="002B208F">
              <w:rPr>
                <w:rFonts w:ascii="ＭＳ ゴシック" w:eastAsia="ＭＳ ゴシック" w:hAnsi="ＭＳ ゴシック" w:cs="ＭＳ Ｐゴシック" w:hint="eastAsia"/>
                <w:bCs/>
                <w:kern w:val="0"/>
                <w:szCs w:val="21"/>
              </w:rPr>
              <w:t>ません。また、適宜の科目を追加することができます。</w:t>
            </w:r>
          </w:p>
        </w:tc>
      </w:tr>
    </w:tbl>
    <w:p w:rsidR="00E52E8C" w:rsidRPr="002B208F" w:rsidRDefault="00E52E8C" w:rsidP="00E52E8C">
      <w:pPr>
        <w:rPr>
          <w:rFonts w:ascii="ＭＳ 明朝" w:hAnsi="ＭＳ 明朝" w:cs="ＭＳ Ｐゴシック" w:hint="eastAsia"/>
          <w:bCs/>
          <w:kern w:val="0"/>
          <w:szCs w:val="21"/>
        </w:rPr>
      </w:pPr>
    </w:p>
    <w:tbl>
      <w:tblPr>
        <w:tblW w:w="9498" w:type="dxa"/>
        <w:tblInd w:w="-43" w:type="dxa"/>
        <w:tblCellMar>
          <w:left w:w="99" w:type="dxa"/>
          <w:right w:w="99" w:type="dxa"/>
        </w:tblCellMar>
        <w:tblLook w:val="04A0" w:firstRow="1" w:lastRow="0" w:firstColumn="1" w:lastColumn="0" w:noHBand="0" w:noVBand="1"/>
      </w:tblPr>
      <w:tblGrid>
        <w:gridCol w:w="568"/>
        <w:gridCol w:w="2126"/>
        <w:gridCol w:w="6804"/>
      </w:tblGrid>
      <w:tr w:rsidR="00DC253E" w:rsidRPr="002B208F" w:rsidTr="00DC253E">
        <w:trPr>
          <w:trHeight w:val="7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53E" w:rsidRPr="002B208F" w:rsidRDefault="00DC253E" w:rsidP="00EF3A68">
            <w:pPr>
              <w:widowControl/>
              <w:spacing w:line="0" w:lineRule="atLeast"/>
              <w:jc w:val="center"/>
              <w:rPr>
                <w:rFonts w:ascii="ＭＳ ゴシック" w:eastAsia="ＭＳ ゴシック" w:hAnsi="ＭＳ ゴシック" w:cs="ＭＳ Ｐゴシック"/>
                <w:kern w:val="0"/>
                <w:szCs w:val="21"/>
              </w:rPr>
            </w:pPr>
            <w:r w:rsidRPr="002B208F">
              <w:rPr>
                <w:rFonts w:ascii="ＭＳ ゴシック" w:eastAsia="ＭＳ ゴシック" w:hAnsi="ＭＳ ゴシック" w:cs="ＭＳ Ｐゴシック" w:hint="eastAsia"/>
                <w:kern w:val="0"/>
                <w:szCs w:val="21"/>
              </w:rPr>
              <w:t xml:space="preserve">勘定科目　</w:t>
            </w:r>
          </w:p>
        </w:tc>
        <w:tc>
          <w:tcPr>
            <w:tcW w:w="6804" w:type="dxa"/>
            <w:tcBorders>
              <w:top w:val="single" w:sz="4" w:space="0" w:color="auto"/>
              <w:left w:val="nil"/>
              <w:bottom w:val="single" w:sz="4" w:space="0" w:color="auto"/>
              <w:right w:val="single" w:sz="4" w:space="0" w:color="auto"/>
            </w:tcBorders>
            <w:shd w:val="clear" w:color="auto" w:fill="auto"/>
            <w:vAlign w:val="center"/>
          </w:tcPr>
          <w:p w:rsidR="00DC253E" w:rsidRPr="002B208F" w:rsidRDefault="00DC253E" w:rsidP="00EF3A68">
            <w:pPr>
              <w:widowControl/>
              <w:spacing w:line="0" w:lineRule="atLeast"/>
              <w:jc w:val="center"/>
              <w:rPr>
                <w:rFonts w:ascii="ＭＳ ゴシック" w:eastAsia="ＭＳ ゴシック" w:hAnsi="ＭＳ ゴシック" w:cs="ＭＳ Ｐゴシック"/>
                <w:kern w:val="0"/>
                <w:szCs w:val="21"/>
              </w:rPr>
            </w:pPr>
            <w:r w:rsidRPr="002B208F">
              <w:rPr>
                <w:rFonts w:ascii="ＭＳ ゴシック" w:eastAsia="ＭＳ ゴシック" w:hAnsi="ＭＳ ゴシック" w:cs="ＭＳ Ｐゴシック" w:hint="eastAsia"/>
                <w:kern w:val="0"/>
                <w:szCs w:val="21"/>
              </w:rPr>
              <w:t xml:space="preserve">科目の説明　</w:t>
            </w:r>
          </w:p>
        </w:tc>
      </w:tr>
      <w:tr w:rsidR="00DC253E" w:rsidRPr="002B208F" w:rsidTr="00B84FAA">
        <w:trPr>
          <w:trHeight w:val="70"/>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Ⅰ　経常収益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right="420"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１．受取会費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正会員受取会費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確実に入金されることが明らかな場合を除き、実際に入金したときに計上する。</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賛助会員受取会費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対価性が認められず明らかに贈与と認められるものや、それを含む場合があり、ＰＳＴの判定時に留意が必要。</w:t>
            </w:r>
          </w:p>
        </w:tc>
      </w:tr>
      <w:tr w:rsidR="00DC253E" w:rsidRPr="002B208F" w:rsidTr="00B84FAA">
        <w:trPr>
          <w:trHeight w:val="80"/>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２．受取寄附金</w:t>
            </w:r>
          </w:p>
        </w:tc>
        <w:tc>
          <w:tcPr>
            <w:tcW w:w="6804" w:type="dxa"/>
            <w:vMerge w:val="restart"/>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受取寄附金</w:t>
            </w:r>
          </w:p>
        </w:tc>
        <w:tc>
          <w:tcPr>
            <w:tcW w:w="6804" w:type="dxa"/>
            <w:vMerge/>
            <w:tcBorders>
              <w:top w:val="nil"/>
              <w:left w:val="nil"/>
              <w:bottom w:val="nil"/>
              <w:right w:val="single" w:sz="4" w:space="0" w:color="auto"/>
            </w:tcBorders>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資産受贈益</w:t>
            </w:r>
          </w:p>
        </w:tc>
        <w:tc>
          <w:tcPr>
            <w:tcW w:w="6804" w:type="dxa"/>
            <w:tcBorders>
              <w:top w:val="nil"/>
              <w:left w:val="nil"/>
              <w:bottom w:val="nil"/>
              <w:right w:val="single" w:sz="4" w:space="0" w:color="auto"/>
            </w:tcBorders>
            <w:shd w:val="clear" w:color="auto" w:fill="auto"/>
            <w:hideMark/>
          </w:tcPr>
          <w:p w:rsidR="00DC253E" w:rsidRPr="002B208F" w:rsidRDefault="00DC253E" w:rsidP="00B57C71">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無償又は著しく低い価格で現物資産の提供を受けた場合の</w:t>
            </w:r>
            <w:r w:rsidR="00B57C71" w:rsidRPr="002B208F">
              <w:rPr>
                <w:rFonts w:ascii="ＭＳ 明朝" w:hAnsi="ＭＳ 明朝" w:cs="ＭＳ Ｐゴシック" w:hint="eastAsia"/>
                <w:kern w:val="0"/>
                <w:szCs w:val="21"/>
              </w:rPr>
              <w:t>公正価格</w:t>
            </w:r>
            <w:r w:rsidRPr="002B208F">
              <w:rPr>
                <w:rFonts w:ascii="ＭＳ 明朝" w:hAnsi="ＭＳ 明朝" w:cs="ＭＳ Ｐゴシック" w:hint="eastAsia"/>
                <w:kern w:val="0"/>
                <w:szCs w:val="21"/>
              </w:rPr>
              <w:t>による評価</w:t>
            </w:r>
            <w:r w:rsidR="00B57C71" w:rsidRPr="002B208F">
              <w:rPr>
                <w:rFonts w:ascii="ＭＳ 明朝" w:hAnsi="ＭＳ 明朝" w:cs="ＭＳ Ｐゴシック" w:hint="eastAsia"/>
                <w:kern w:val="0"/>
                <w:szCs w:val="21"/>
              </w:rPr>
              <w:t>額</w:t>
            </w:r>
            <w:r w:rsidRPr="002B208F">
              <w:rPr>
                <w:rFonts w:ascii="ＭＳ 明朝" w:hAnsi="ＭＳ 明朝" w:cs="ＭＳ Ｐゴシック" w:hint="eastAsia"/>
                <w:kern w:val="0"/>
                <w:szCs w:val="21"/>
              </w:rPr>
              <w:t>。</w:t>
            </w:r>
          </w:p>
        </w:tc>
      </w:tr>
      <w:tr w:rsidR="00DC253E" w:rsidRPr="002B208F" w:rsidTr="00B84FAA">
        <w:trPr>
          <w:trHeight w:val="144"/>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施設等受入評価益</w:t>
            </w:r>
          </w:p>
        </w:tc>
        <w:tc>
          <w:tcPr>
            <w:tcW w:w="6804" w:type="dxa"/>
            <w:tcBorders>
              <w:top w:val="nil"/>
              <w:left w:val="nil"/>
              <w:bottom w:val="nil"/>
              <w:right w:val="single" w:sz="4" w:space="0" w:color="auto"/>
            </w:tcBorders>
            <w:shd w:val="clear" w:color="auto" w:fill="auto"/>
            <w:hideMark/>
          </w:tcPr>
          <w:p w:rsidR="00DC253E" w:rsidRPr="002B208F" w:rsidRDefault="00DC253E" w:rsidP="00F64D69">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無償又は著しく低い価格で施設の提供等の物的サービスを</w:t>
            </w:r>
            <w:r w:rsidR="00B57C71" w:rsidRPr="002B208F">
              <w:rPr>
                <w:rFonts w:ascii="ＭＳ 明朝" w:hAnsi="ＭＳ 明朝" w:cs="ＭＳ Ｐゴシック" w:hint="eastAsia"/>
                <w:kern w:val="0"/>
                <w:szCs w:val="21"/>
              </w:rPr>
              <w:t>受けた場合で</w:t>
            </w:r>
            <w:r w:rsidRPr="002B208F">
              <w:rPr>
                <w:rFonts w:ascii="ＭＳ 明朝" w:hAnsi="ＭＳ 明朝" w:cs="ＭＳ Ｐゴシック" w:hint="eastAsia"/>
                <w:kern w:val="0"/>
                <w:szCs w:val="21"/>
              </w:rPr>
              <w:t>、</w:t>
            </w:r>
            <w:r w:rsidR="00B57C71" w:rsidRPr="002B208F">
              <w:rPr>
                <w:rFonts w:ascii="ＭＳ 明朝" w:hAnsi="ＭＳ 明朝" w:cs="ＭＳ Ｐゴシック" w:hint="eastAsia"/>
                <w:kern w:val="0"/>
                <w:szCs w:val="21"/>
              </w:rPr>
              <w:t>当該サービスを、</w:t>
            </w:r>
            <w:r w:rsidRPr="002B208F">
              <w:rPr>
                <w:rFonts w:ascii="ＭＳ 明朝" w:hAnsi="ＭＳ 明朝" w:cs="ＭＳ Ｐゴシック" w:hint="eastAsia"/>
                <w:kern w:val="0"/>
                <w:szCs w:val="21"/>
              </w:rPr>
              <w:t>合理的に算定し外部資料等によって客観的に把握でき、</w:t>
            </w:r>
            <w:r w:rsidR="00F64D69" w:rsidRPr="002B208F">
              <w:rPr>
                <w:rFonts w:ascii="ＭＳ 明朝" w:hAnsi="ＭＳ 明朝" w:cs="ＭＳ Ｐゴシック" w:hint="eastAsia"/>
                <w:kern w:val="0"/>
                <w:szCs w:val="21"/>
              </w:rPr>
              <w:t>施設等評価費用と併せて計上する方法を選択した場合に計上する。</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ボランティア受入評価益</w:t>
            </w:r>
          </w:p>
        </w:tc>
        <w:tc>
          <w:tcPr>
            <w:tcW w:w="6804" w:type="dxa"/>
            <w:tcBorders>
              <w:top w:val="nil"/>
              <w:left w:val="nil"/>
              <w:bottom w:val="nil"/>
              <w:right w:val="single" w:sz="4" w:space="0" w:color="auto"/>
            </w:tcBorders>
            <w:shd w:val="clear" w:color="auto" w:fill="auto"/>
            <w:hideMark/>
          </w:tcPr>
          <w:p w:rsidR="00DC253E" w:rsidRPr="002B208F" w:rsidRDefault="00DC253E" w:rsidP="00F64D69">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ボランティアから役務の</w:t>
            </w:r>
            <w:r w:rsidR="00B57C71" w:rsidRPr="002B208F">
              <w:rPr>
                <w:rFonts w:ascii="ＭＳ 明朝" w:hAnsi="ＭＳ 明朝" w:cs="ＭＳ Ｐゴシック" w:hint="eastAsia"/>
                <w:kern w:val="0"/>
                <w:szCs w:val="21"/>
              </w:rPr>
              <w:t>提供を受けた場合で、当該役務の金額を</w:t>
            </w:r>
            <w:r w:rsidRPr="002B208F">
              <w:rPr>
                <w:rFonts w:ascii="ＭＳ 明朝" w:hAnsi="ＭＳ 明朝" w:cs="ＭＳ Ｐゴシック" w:hint="eastAsia"/>
                <w:kern w:val="0"/>
                <w:szCs w:val="21"/>
              </w:rPr>
              <w:t>、合理的に算定し外部資料等によって客観的に把握でき、</w:t>
            </w:r>
            <w:r w:rsidR="00F64D69" w:rsidRPr="002B208F">
              <w:rPr>
                <w:rFonts w:ascii="ＭＳ 明朝" w:hAnsi="ＭＳ 明朝" w:cs="ＭＳ Ｐゴシック" w:hint="eastAsia"/>
                <w:kern w:val="0"/>
                <w:szCs w:val="21"/>
              </w:rPr>
              <w:t>ボランティア評価費用と併せて計上する方法を選択した場合に計上する。</w:t>
            </w: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３．受取助成金等</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74"/>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　</w:t>
            </w: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受取助成金</w:t>
            </w:r>
          </w:p>
        </w:tc>
        <w:tc>
          <w:tcPr>
            <w:tcW w:w="6804" w:type="dxa"/>
            <w:vMerge w:val="restart"/>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補助金や助成金の交付者の区分によって受取民間助成金、受取国庫補助金等に区分することができる。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受取補助金</w:t>
            </w:r>
          </w:p>
        </w:tc>
        <w:tc>
          <w:tcPr>
            <w:tcW w:w="6804" w:type="dxa"/>
            <w:vMerge/>
            <w:tcBorders>
              <w:top w:val="nil"/>
              <w:left w:val="nil"/>
              <w:bottom w:val="nil"/>
              <w:right w:val="single" w:sz="4" w:space="0" w:color="auto"/>
            </w:tcBorders>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４．事業収益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事業の種類ごとに区分して表示することができる。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売上高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販売用棚卸資産の販売やサービス（役務）の提供などにより得た収益。</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○○利用会員受取会費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サービス利用の対価としての性格をもつ会費。</w:t>
            </w: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５．その他収益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受取利息</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為替差益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為替換算による差益。なお為替差損がある場合は相殺して表示する。</w:t>
            </w:r>
          </w:p>
        </w:tc>
      </w:tr>
      <w:tr w:rsidR="00DC253E" w:rsidRPr="002B208F" w:rsidTr="00B84FAA">
        <w:trPr>
          <w:trHeight w:val="51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雑収益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いずれの科目にも該当しない、又は独立の科目とするほど量的、質的に重要でない収益。この科目の金額が他と比して過大になることは望ましくない。</w:t>
            </w:r>
          </w:p>
        </w:tc>
      </w:tr>
      <w:tr w:rsidR="00DC253E" w:rsidRPr="002B208F" w:rsidTr="00B84FAA">
        <w:trPr>
          <w:trHeight w:val="80"/>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Ⅱ　経常費用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 xml:space="preserve">１．事業費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F64D69" w:rsidP="00B84FAA">
            <w:pPr>
              <w:widowControl/>
              <w:spacing w:line="0" w:lineRule="atLeast"/>
              <w:ind w:firstLineChars="200" w:firstLine="413"/>
              <w:rPr>
                <w:rFonts w:ascii="ＭＳ 明朝" w:hAnsi="ＭＳ 明朝" w:cs="ＭＳ Ｐゴシック"/>
                <w:kern w:val="0"/>
                <w:szCs w:val="21"/>
              </w:rPr>
            </w:pPr>
            <w:r w:rsidRPr="002B208F">
              <w:rPr>
                <w:rFonts w:ascii="ＭＳ 明朝" w:hAnsi="ＭＳ 明朝" w:cs="ＭＳ Ｐゴシック" w:hint="eastAsia"/>
                <w:kern w:val="0"/>
                <w:szCs w:val="21"/>
              </w:rPr>
              <w:t>(</w:t>
            </w:r>
            <w:r w:rsidR="00DC253E" w:rsidRPr="002B208F">
              <w:rPr>
                <w:rFonts w:ascii="ＭＳ 明朝" w:hAnsi="ＭＳ 明朝" w:cs="ＭＳ Ｐゴシック" w:hint="eastAsia"/>
                <w:kern w:val="0"/>
                <w:szCs w:val="21"/>
              </w:rPr>
              <w:t xml:space="preserve">1)人件費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給料手当</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臨時雇賃金</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ボランティア評価費用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ボランティアの費用相当額。ボランティア受入評価益と併せて計上する。</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法定福利費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退職給付費用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退職給付見込額のうち当期に発生した費用。会計基準変更時差異の処理として、定額法により費用処理する場合、一定年数（15年以内）で除した額を加算する。少額を一括して処理する場合も含まれる。</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通勤費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給料手当、福利厚生費に含める場合もある。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福利厚生費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200" w:firstLine="413"/>
              <w:rPr>
                <w:rFonts w:ascii="ＭＳ 明朝" w:hAnsi="ＭＳ 明朝" w:cs="ＭＳ Ｐゴシック"/>
                <w:kern w:val="0"/>
                <w:szCs w:val="21"/>
              </w:rPr>
            </w:pPr>
            <w:r w:rsidRPr="002B208F">
              <w:rPr>
                <w:rFonts w:ascii="ＭＳ 明朝" w:hAnsi="ＭＳ 明朝" w:cs="ＭＳ Ｐゴシック" w:hint="eastAsia"/>
                <w:kern w:val="0"/>
                <w:szCs w:val="21"/>
              </w:rPr>
              <w:t>(2)その他経費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売上原価</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販売用棚卸資産を販売したときの原価。期首の棚卸高に当期の仕入高を加え期末の棚卸高を控除した額。</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業務委託費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諸謝金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講師等に対する謝礼金。</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印刷製本費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会議費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旅費交通費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52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車両費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車両運搬具に関する費用をまとめる場合。内容により他の科目に表示することもできる。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通信運搬費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電話代や郵送物の送料等。</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消耗品費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修繕費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水道光熱費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電気代、ガス代、水道代等。</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地代家賃</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事務所の家賃や駐車場代等。</w:t>
            </w:r>
          </w:p>
        </w:tc>
      </w:tr>
      <w:tr w:rsidR="00DC253E" w:rsidRPr="002B208F" w:rsidTr="00B84FAA">
        <w:trPr>
          <w:trHeight w:val="141"/>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賃借料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少額資産に該当する事務機器のリース料等。不動産の使用料をここに入れることも可能。</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施設等評価費用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無償でサービスの提供を受けた場合の費用相当額。施設等受入評価益と併せて計上する。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減価償却費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保険料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諸会費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449"/>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租税公課</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Ｐ</w:t>
            </w:r>
            <w:r w:rsidR="0071621A" w:rsidRPr="002B208F">
              <w:rPr>
                <w:rFonts w:ascii="ＭＳ 明朝" w:hAnsi="ＭＳ 明朝" w:cs="ＭＳ Ｐゴシック" w:hint="eastAsia"/>
                <w:kern w:val="0"/>
                <w:szCs w:val="21"/>
              </w:rPr>
              <w:t>122</w:t>
            </w:r>
            <w:r w:rsidRPr="002B208F">
              <w:rPr>
                <w:rFonts w:ascii="ＭＳ 明朝" w:hAnsi="ＭＳ 明朝" w:cs="ＭＳ Ｐゴシック" w:hint="eastAsia"/>
                <w:kern w:val="0"/>
                <w:szCs w:val="21"/>
              </w:rPr>
              <w:t>の様式例参照）。</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研修費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支払手数料</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支払助成金</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支払寄附金</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支払利息</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金融機関等からの借入れに係る利子・利息。</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為替差損</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為替換算による差損。なお、為替差益がある場合は相殺して表示する。</w:t>
            </w:r>
          </w:p>
        </w:tc>
      </w:tr>
      <w:tr w:rsidR="00DC253E" w:rsidRPr="002B208F" w:rsidTr="00B84FAA">
        <w:trPr>
          <w:trHeight w:val="51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雑費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いずれの科目にも該当しない、又は独立の科目とするほど量的、質的に重要でない費用。この科目の金額が他と比して過大になることは望ましくない。</w:t>
            </w:r>
          </w:p>
        </w:tc>
      </w:tr>
      <w:tr w:rsidR="00DC253E" w:rsidRPr="002B208F" w:rsidTr="00B84FAA">
        <w:trPr>
          <w:trHeight w:val="255"/>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ind w:firstLineChars="100" w:firstLine="207"/>
              <w:rPr>
                <w:rFonts w:ascii="ＭＳ 明朝" w:hAnsi="ＭＳ 明朝" w:cs="ＭＳ Ｐゴシック"/>
                <w:kern w:val="0"/>
                <w:szCs w:val="21"/>
              </w:rPr>
            </w:pPr>
            <w:r w:rsidRPr="002B208F">
              <w:rPr>
                <w:rFonts w:ascii="ＭＳ 明朝" w:hAnsi="ＭＳ 明朝" w:cs="ＭＳ Ｐゴシック" w:hint="eastAsia"/>
                <w:kern w:val="0"/>
                <w:szCs w:val="21"/>
              </w:rPr>
              <w:t xml:space="preserve">２．管理費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ind w:firstLineChars="200" w:firstLine="413"/>
              <w:rPr>
                <w:rFonts w:ascii="ＭＳ 明朝" w:hAnsi="ＭＳ 明朝" w:cs="ＭＳ Ｐゴシック"/>
                <w:kern w:val="0"/>
                <w:szCs w:val="21"/>
              </w:rPr>
            </w:pPr>
            <w:r w:rsidRPr="002B208F">
              <w:rPr>
                <w:rFonts w:ascii="ＭＳ 明朝" w:hAnsi="ＭＳ 明朝" w:cs="ＭＳ Ｐゴシック" w:hint="eastAsia"/>
                <w:kern w:val="0"/>
                <w:szCs w:val="21"/>
              </w:rPr>
              <w:t xml:space="preserve">(1)人件費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役員報酬</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給料手当</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法定福利費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退職給付費用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退職給付見込額のうち当期に発生した費用。会計基準変更時差異の処理として、定額法により費用処理する場合、一定年数（15年以内）で除した額を加算する。少額を一括して処理する場合も含まれる。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通勤費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給料手当、福利厚生費に含める場合もある。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福利厚生費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ind w:firstLineChars="200" w:firstLine="413"/>
              <w:rPr>
                <w:rFonts w:ascii="ＭＳ 明朝" w:hAnsi="ＭＳ 明朝" w:cs="ＭＳ Ｐゴシック"/>
                <w:kern w:val="0"/>
                <w:szCs w:val="21"/>
              </w:rPr>
            </w:pPr>
            <w:r w:rsidRPr="002B208F">
              <w:rPr>
                <w:rFonts w:ascii="ＭＳ 明朝" w:hAnsi="ＭＳ 明朝" w:cs="ＭＳ Ｐゴシック" w:hint="eastAsia"/>
                <w:kern w:val="0"/>
                <w:szCs w:val="21"/>
              </w:rPr>
              <w:t>(2)その他経費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印刷製本費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会議費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旅費交通費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車両費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車両運搬具に関する費用をまとめる場合。内容により他の科目に表示することもできる。</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通信運搬費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電話代や郵送物の送料等。</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消耗品費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修繕費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水道光熱費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電気代、ガス代、水道代等。</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地代家賃</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事務所の家賃や駐車場代等。</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賃借料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少額資産に該当する事務機器のリース料等。不動産の使用料をここに入れることも可能。</w:t>
            </w: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減価償却費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保険料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諸会費　</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租税公課</w:t>
            </w:r>
          </w:p>
        </w:tc>
        <w:tc>
          <w:tcPr>
            <w:tcW w:w="6804" w:type="dxa"/>
            <w:tcBorders>
              <w:top w:val="nil"/>
              <w:left w:val="nil"/>
              <w:bottom w:val="nil"/>
              <w:right w:val="single" w:sz="4" w:space="0" w:color="auto"/>
            </w:tcBorders>
            <w:shd w:val="clear" w:color="auto" w:fill="auto"/>
            <w:hideMark/>
          </w:tcPr>
          <w:p w:rsidR="00DC253E" w:rsidRPr="002B208F" w:rsidRDefault="00DC253E" w:rsidP="00F65375">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w:t>
            </w:r>
            <w:r w:rsidR="00F65375">
              <w:rPr>
                <w:rFonts w:ascii="ＭＳ 明朝" w:hAnsi="ＭＳ 明朝" w:cs="ＭＳ Ｐゴシック" w:hint="eastAsia"/>
                <w:kern w:val="0"/>
                <w:szCs w:val="21"/>
              </w:rPr>
              <w:t>活動計算書</w:t>
            </w:r>
            <w:r w:rsidRPr="002B208F">
              <w:rPr>
                <w:rFonts w:ascii="ＭＳ 明朝" w:hAnsi="ＭＳ 明朝" w:cs="ＭＳ Ｐゴシック" w:hint="eastAsia"/>
                <w:kern w:val="0"/>
                <w:szCs w:val="21"/>
              </w:rPr>
              <w:t>の様式例参照）。</w:t>
            </w:r>
          </w:p>
        </w:tc>
      </w:tr>
      <w:tr w:rsidR="00DC253E" w:rsidRPr="002B208F" w:rsidTr="00B84FAA">
        <w:trPr>
          <w:trHeight w:val="80"/>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支払手数料</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支払利息</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金融機関等からの借入れに係る利子・利息。</w:t>
            </w:r>
          </w:p>
        </w:tc>
      </w:tr>
      <w:tr w:rsidR="00DC253E" w:rsidRPr="002B208F" w:rsidTr="00B84FAA">
        <w:trPr>
          <w:trHeight w:val="181"/>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雑費</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いずれの科目にも該当しない、又は独立の科目とするほど量的、質的に重要でない費用。この科目の金額が他と比して過大になることは望ましくない。</w:t>
            </w: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Ⅲ　経常外収益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固定資産売却益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過年度損益修正益</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過年度に関わる項目を当期に一括して修正処理をした場合。</w:t>
            </w:r>
          </w:p>
        </w:tc>
      </w:tr>
      <w:tr w:rsidR="00DC253E" w:rsidRPr="002B208F" w:rsidTr="00B84FAA">
        <w:trPr>
          <w:trHeight w:val="255"/>
        </w:trPr>
        <w:tc>
          <w:tcPr>
            <w:tcW w:w="2694" w:type="dxa"/>
            <w:gridSpan w:val="2"/>
            <w:tcBorders>
              <w:top w:val="nil"/>
              <w:left w:val="single" w:sz="4" w:space="0" w:color="auto"/>
              <w:bottom w:val="nil"/>
              <w:right w:val="single" w:sz="4" w:space="0" w:color="000000"/>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Ⅳ　経常外費用</w:t>
            </w:r>
          </w:p>
        </w:tc>
        <w:tc>
          <w:tcPr>
            <w:tcW w:w="6804" w:type="dxa"/>
            <w:tcBorders>
              <w:top w:val="nil"/>
              <w:left w:val="nil"/>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固定資産除・売却損</w:t>
            </w:r>
          </w:p>
        </w:tc>
        <w:tc>
          <w:tcPr>
            <w:tcW w:w="6804" w:type="dxa"/>
            <w:tcBorders>
              <w:top w:val="nil"/>
              <w:left w:val="single" w:sz="4" w:space="0" w:color="auto"/>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災害損失</w:t>
            </w:r>
          </w:p>
        </w:tc>
        <w:tc>
          <w:tcPr>
            <w:tcW w:w="6804" w:type="dxa"/>
            <w:tcBorders>
              <w:top w:val="nil"/>
              <w:left w:val="single" w:sz="4" w:space="0" w:color="auto"/>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126"/>
        </w:trPr>
        <w:tc>
          <w:tcPr>
            <w:tcW w:w="568" w:type="dxa"/>
            <w:tcBorders>
              <w:top w:val="nil"/>
              <w:left w:val="single" w:sz="4" w:space="0" w:color="auto"/>
              <w:bottom w:val="nil"/>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p>
        </w:tc>
        <w:tc>
          <w:tcPr>
            <w:tcW w:w="2126" w:type="dxa"/>
            <w:tcBorders>
              <w:top w:val="nil"/>
              <w:left w:val="nil"/>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過年度損益修正損</w:t>
            </w:r>
          </w:p>
        </w:tc>
        <w:tc>
          <w:tcPr>
            <w:tcW w:w="6804" w:type="dxa"/>
            <w:tcBorders>
              <w:top w:val="nil"/>
              <w:left w:val="single" w:sz="4" w:space="0" w:color="auto"/>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過年度に関わる項目を当期に一括して修正処理をした場合。会計基準を変更する前事業年度以前に減価償却を行っていない資産を一括して修正処理する場合などに用いる。減価償却費だけの場合は、「過年度減価償却費」の科目を使うこともできる。</w:t>
            </w:r>
          </w:p>
        </w:tc>
      </w:tr>
      <w:tr w:rsidR="00DC253E" w:rsidRPr="002B208F" w:rsidTr="00B84FAA">
        <w:trPr>
          <w:trHeight w:val="255"/>
        </w:trPr>
        <w:tc>
          <w:tcPr>
            <w:tcW w:w="2694" w:type="dxa"/>
            <w:gridSpan w:val="2"/>
            <w:tcBorders>
              <w:top w:val="nil"/>
              <w:left w:val="single" w:sz="4" w:space="0" w:color="auto"/>
              <w:bottom w:val="nil"/>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Ⅴ　経理区分振替額</w:t>
            </w:r>
          </w:p>
        </w:tc>
        <w:tc>
          <w:tcPr>
            <w:tcW w:w="6804" w:type="dxa"/>
            <w:tcBorders>
              <w:top w:val="nil"/>
              <w:left w:val="single" w:sz="4" w:space="0" w:color="auto"/>
              <w:bottom w:val="nil"/>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p>
        </w:tc>
      </w:tr>
      <w:tr w:rsidR="00DC253E" w:rsidRPr="002B208F" w:rsidTr="00B84FAA">
        <w:trPr>
          <w:trHeight w:val="255"/>
        </w:trPr>
        <w:tc>
          <w:tcPr>
            <w:tcW w:w="568" w:type="dxa"/>
            <w:tcBorders>
              <w:top w:val="nil"/>
              <w:left w:val="single" w:sz="4" w:space="0" w:color="auto"/>
              <w:bottom w:val="single" w:sz="4" w:space="0" w:color="auto"/>
              <w:right w:val="nil"/>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経理区分振替額</w:t>
            </w:r>
          </w:p>
        </w:tc>
        <w:tc>
          <w:tcPr>
            <w:tcW w:w="6804" w:type="dxa"/>
            <w:tcBorders>
              <w:top w:val="nil"/>
              <w:left w:val="single" w:sz="4" w:space="0" w:color="auto"/>
              <w:bottom w:val="single" w:sz="4" w:space="0" w:color="auto"/>
              <w:right w:val="single" w:sz="4" w:space="0" w:color="auto"/>
            </w:tcBorders>
            <w:shd w:val="clear" w:color="auto" w:fill="auto"/>
            <w:hideMark/>
          </w:tcPr>
          <w:p w:rsidR="00DC253E" w:rsidRPr="002B208F" w:rsidRDefault="00DC253E" w:rsidP="00B84FAA">
            <w:pPr>
              <w:widowControl/>
              <w:spacing w:line="0" w:lineRule="atLeast"/>
              <w:rPr>
                <w:rFonts w:ascii="ＭＳ 明朝" w:hAnsi="ＭＳ 明朝" w:cs="ＭＳ Ｐゴシック"/>
                <w:kern w:val="0"/>
                <w:szCs w:val="21"/>
              </w:rPr>
            </w:pPr>
            <w:r w:rsidRPr="002B208F">
              <w:rPr>
                <w:rFonts w:ascii="ＭＳ 明朝" w:hAnsi="ＭＳ 明朝" w:cs="ＭＳ Ｐゴシック" w:hint="eastAsia"/>
                <w:kern w:val="0"/>
                <w:szCs w:val="21"/>
              </w:rPr>
              <w:t>その他の事業がある場合の事業間振替額。</w:t>
            </w:r>
          </w:p>
        </w:tc>
      </w:tr>
    </w:tbl>
    <w:p w:rsidR="00DC253E" w:rsidRPr="002B208F" w:rsidRDefault="00DC253E" w:rsidP="00DC253E">
      <w:pPr>
        <w:spacing w:line="0" w:lineRule="atLeast"/>
        <w:rPr>
          <w:rFonts w:ascii="ＭＳ 明朝" w:hAnsi="ＭＳ 明朝"/>
          <w:sz w:val="18"/>
          <w:szCs w:val="18"/>
        </w:rPr>
      </w:pPr>
    </w:p>
    <w:p w:rsidR="00E52E8C" w:rsidRPr="002B208F" w:rsidRDefault="00657ADF" w:rsidP="00E52E8C">
      <w:pPr>
        <w:rPr>
          <w:rFonts w:ascii="ＭＳ 明朝" w:hAnsi="ＭＳ 明朝" w:cs="ＭＳ Ｐゴシック"/>
          <w:bCs/>
          <w:kern w:val="0"/>
          <w:szCs w:val="21"/>
        </w:rPr>
      </w:pPr>
      <w:r w:rsidRPr="002B208F">
        <w:rPr>
          <w:rFonts w:ascii="ＭＳ 明朝" w:hAnsi="ＭＳ 明朝" w:cs="ＭＳ Ｐゴシック"/>
          <w:bCs/>
          <w:noProof/>
          <w:kern w:val="0"/>
          <w:szCs w:val="21"/>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170815</wp:posOffset>
                </wp:positionV>
                <wp:extent cx="6038850" cy="1129665"/>
                <wp:effectExtent l="13335" t="13335" r="5715" b="9525"/>
                <wp:wrapNone/>
                <wp:docPr id="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29665"/>
                        </a:xfrm>
                        <a:prstGeom prst="rect">
                          <a:avLst/>
                        </a:prstGeom>
                        <a:solidFill>
                          <a:srgbClr val="FFFFFF"/>
                        </a:solidFill>
                        <a:ln w="9525" cap="rnd">
                          <a:solidFill>
                            <a:srgbClr val="000000"/>
                          </a:solidFill>
                          <a:prstDash val="sysDot"/>
                          <a:miter lim="800000"/>
                          <a:headEnd/>
                          <a:tailEnd/>
                        </a:ln>
                      </wps:spPr>
                      <wps:txbx>
                        <w:txbxContent>
                          <w:p w:rsidR="00EF3A68" w:rsidRPr="002B208F" w:rsidRDefault="00EF3A68" w:rsidP="00FE69F7">
                            <w:pPr>
                              <w:spacing w:beforeLines="10" w:before="31" w:afterLines="10" w:after="31" w:line="0" w:lineRule="atLeast"/>
                              <w:ind w:left="619" w:hangingChars="315" w:hanging="619"/>
                              <w:rPr>
                                <w:rFonts w:ascii="ＭＳ ゴシック" w:eastAsia="ＭＳ ゴシック" w:hAnsi="ＭＳ ゴシック"/>
                                <w:sz w:val="20"/>
                                <w:szCs w:val="20"/>
                              </w:rPr>
                            </w:pPr>
                            <w:r w:rsidRPr="002B208F">
                              <w:rPr>
                                <w:rFonts w:ascii="ＭＳ ゴシック" w:eastAsia="ＭＳ ゴシック" w:hAnsi="ＭＳ ゴシック" w:hint="eastAsia"/>
                                <w:sz w:val="20"/>
                                <w:szCs w:val="20"/>
                              </w:rPr>
                              <w:t>（注）　重要性が高いと判断される使途等が制約された寄附金等（対象事業等が定められた補助金等を含む）を受け入れた場合は、「一般正味財産増減の部」と「指定正味財産増減の部」に区分して表示し、当該寄附金等を後者に計上することが望ましい。当該寄附金（補助金・助成金）の使途等が解除された場合等には、「一般正味財産増減の部」に　「受取寄附金（補助金・助成金）振替額」を、「指定正味財産増減の部」に「一般正味財産への振替額（△）」を勘定科目として記載する（表示例は</w:t>
                            </w:r>
                            <w:r w:rsidR="00F65375">
                              <w:rPr>
                                <w:rFonts w:ascii="ＭＳ ゴシック" w:eastAsia="ＭＳ ゴシック" w:hAnsi="ＭＳ ゴシック" w:hint="eastAsia"/>
                                <w:sz w:val="20"/>
                                <w:szCs w:val="20"/>
                              </w:rPr>
                              <w:t>活動計算書</w:t>
                            </w:r>
                            <w:r w:rsidRPr="002B208F">
                              <w:rPr>
                                <w:rFonts w:ascii="ＭＳ ゴシック" w:eastAsia="ＭＳ ゴシック" w:hAnsi="ＭＳ ゴシック" w:hint="eastAsia"/>
                                <w:sz w:val="20"/>
                                <w:szCs w:val="20"/>
                              </w:rPr>
                              <w:t>の様式例参照）。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1" o:spid="_x0000_s1026" type="#_x0000_t202" style="position:absolute;left:0;text-align:left;margin-left:-6.4pt;margin-top:13.45pt;width:475.5pt;height:8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">
                <v:stroke dashstyle="1 1" endcap="round"/>
                <v:textbox inset="5.85pt,.7pt,5.85pt,.7pt">
                  <w:txbxContent>
                    <w:p w:rsidR="00EF3A68" w:rsidRPr="002B208F" w:rsidRDefault="00EF3A68" w:rsidP="00FE69F7">
                      <w:pPr>
                        <w:spacing w:beforeLines="10" w:before="31" w:afterLines="10" w:after="31" w:line="0" w:lineRule="atLeast"/>
                        <w:ind w:left="619" w:hangingChars="315" w:hanging="619"/>
                        <w:rPr>
                          <w:rFonts w:ascii="ＭＳ ゴシック" w:eastAsia="ＭＳ ゴシック" w:hAnsi="ＭＳ ゴシック"/>
                          <w:sz w:val="20"/>
                          <w:szCs w:val="20"/>
                        </w:rPr>
                      </w:pPr>
                      <w:r w:rsidRPr="002B208F">
                        <w:rPr>
                          <w:rFonts w:ascii="ＭＳ ゴシック" w:eastAsia="ＭＳ ゴシック" w:hAnsi="ＭＳ ゴシック" w:hint="eastAsia"/>
                          <w:sz w:val="20"/>
                          <w:szCs w:val="20"/>
                        </w:rPr>
                        <w:t>（注）　重要性が高いと判断される使途等が制約された寄附金等（対象事業等が定められた補助金等を含む）を受け入れた場合は、「一般正味財産増減の部」と「指定正味財産増減の部」に区分して表示し、当該寄附金等を後者に計上することが望ましい。当該寄附金（補助金・助成金）の使途等が解除された場合等には、「一般正味財産増減の部」に　「受取寄附金（補助金・助成金）振替額」を、「指定正味財産増減の部」に「一般正味財産への振替額（△）」を勘定科目として記載する（表示例は</w:t>
                      </w:r>
                      <w:r w:rsidR="00F65375">
                        <w:rPr>
                          <w:rFonts w:ascii="ＭＳ ゴシック" w:eastAsia="ＭＳ ゴシック" w:hAnsi="ＭＳ ゴシック" w:hint="eastAsia"/>
                          <w:sz w:val="20"/>
                          <w:szCs w:val="20"/>
                        </w:rPr>
                        <w:t>活動計算書</w:t>
                      </w:r>
                      <w:r w:rsidRPr="002B208F">
                        <w:rPr>
                          <w:rFonts w:ascii="ＭＳ ゴシック" w:eastAsia="ＭＳ ゴシック" w:hAnsi="ＭＳ ゴシック" w:hint="eastAsia"/>
                          <w:sz w:val="20"/>
                          <w:szCs w:val="20"/>
                        </w:rPr>
                        <w:t>の様式例参照）。</w:t>
                      </w:r>
                    </w:p>
                  </w:txbxContent>
                </v:textbox>
              </v:shape>
            </w:pict>
          </mc:Fallback>
        </mc:AlternateContent>
      </w:r>
    </w:p>
    <w:p w:rsidR="00DF1DFE" w:rsidRPr="002B208F" w:rsidRDefault="00DF1DFE" w:rsidP="00F65375">
      <w:pPr>
        <w:spacing w:beforeLines="10" w:before="31" w:afterLines="10" w:after="31"/>
        <w:rPr>
          <w:rFonts w:hint="eastAsia"/>
          <w:noProof/>
        </w:rPr>
      </w:pPr>
    </w:p>
    <w:sectPr w:rsidR="00DF1DFE" w:rsidRPr="002B208F" w:rsidSect="009D03BC">
      <w:footerReference w:type="even" r:id="rId8"/>
      <w:pgSz w:w="11906" w:h="16838" w:code="9"/>
      <w:pgMar w:top="1418" w:right="1304" w:bottom="1418" w:left="1304" w:header="851" w:footer="397" w:gutter="0"/>
      <w:pgNumType w:fmt="numberInDash"/>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63" w:rsidRDefault="009F4963">
      <w:r>
        <w:separator/>
      </w:r>
    </w:p>
  </w:endnote>
  <w:endnote w:type="continuationSeparator" w:id="0">
    <w:p w:rsidR="009F4963" w:rsidRDefault="009F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8" w:rsidRDefault="00EF3A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A68" w:rsidRDefault="00EF3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63" w:rsidRDefault="009F4963">
      <w:r>
        <w:separator/>
      </w:r>
    </w:p>
  </w:footnote>
  <w:footnote w:type="continuationSeparator" w:id="0">
    <w:p w:rsidR="009F4963" w:rsidRDefault="009F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1" w15:restartNumberingAfterBreak="0">
    <w:nsid w:val="38DF0005"/>
    <w:multiLevelType w:val="hybridMultilevel"/>
    <w:tmpl w:val="A24CC3CC"/>
    <w:lvl w:ilvl="0" w:tplc="CAB65F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7E6136B"/>
    <w:multiLevelType w:val="hybridMultilevel"/>
    <w:tmpl w:val="B4F2372E"/>
    <w:lvl w:ilvl="0" w:tplc="582ACA9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6"/>
    <w:rsid w:val="000059E4"/>
    <w:rsid w:val="00005F35"/>
    <w:rsid w:val="000077F2"/>
    <w:rsid w:val="00017E2D"/>
    <w:rsid w:val="00024107"/>
    <w:rsid w:val="00057AC5"/>
    <w:rsid w:val="0006675B"/>
    <w:rsid w:val="000763D9"/>
    <w:rsid w:val="00076408"/>
    <w:rsid w:val="000954C8"/>
    <w:rsid w:val="000B2679"/>
    <w:rsid w:val="000B3310"/>
    <w:rsid w:val="000C2003"/>
    <w:rsid w:val="000C3FF1"/>
    <w:rsid w:val="000D0CE1"/>
    <w:rsid w:val="000D441B"/>
    <w:rsid w:val="000D512A"/>
    <w:rsid w:val="000D680C"/>
    <w:rsid w:val="000E3EBB"/>
    <w:rsid w:val="000E7E27"/>
    <w:rsid w:val="001012D6"/>
    <w:rsid w:val="00114461"/>
    <w:rsid w:val="001225E4"/>
    <w:rsid w:val="0012564C"/>
    <w:rsid w:val="00127E3B"/>
    <w:rsid w:val="00135D88"/>
    <w:rsid w:val="00147876"/>
    <w:rsid w:val="0015331D"/>
    <w:rsid w:val="00162FA8"/>
    <w:rsid w:val="00163C6B"/>
    <w:rsid w:val="00173514"/>
    <w:rsid w:val="0017442E"/>
    <w:rsid w:val="00184288"/>
    <w:rsid w:val="00192B26"/>
    <w:rsid w:val="0019497C"/>
    <w:rsid w:val="00195663"/>
    <w:rsid w:val="001A04AC"/>
    <w:rsid w:val="001B0E55"/>
    <w:rsid w:val="001B75B1"/>
    <w:rsid w:val="001D6329"/>
    <w:rsid w:val="001F0A23"/>
    <w:rsid w:val="00212825"/>
    <w:rsid w:val="002334BC"/>
    <w:rsid w:val="0023398C"/>
    <w:rsid w:val="0026025B"/>
    <w:rsid w:val="00284726"/>
    <w:rsid w:val="00292596"/>
    <w:rsid w:val="00292CDE"/>
    <w:rsid w:val="002B0A3A"/>
    <w:rsid w:val="002B208F"/>
    <w:rsid w:val="002C1420"/>
    <w:rsid w:val="002E0B18"/>
    <w:rsid w:val="002F05A9"/>
    <w:rsid w:val="002F4ED8"/>
    <w:rsid w:val="00302275"/>
    <w:rsid w:val="00303496"/>
    <w:rsid w:val="0032371D"/>
    <w:rsid w:val="003242CB"/>
    <w:rsid w:val="0032619D"/>
    <w:rsid w:val="0033047C"/>
    <w:rsid w:val="0033440F"/>
    <w:rsid w:val="00344B87"/>
    <w:rsid w:val="003516ED"/>
    <w:rsid w:val="00373B90"/>
    <w:rsid w:val="003A1618"/>
    <w:rsid w:val="003A27E8"/>
    <w:rsid w:val="003A5D8F"/>
    <w:rsid w:val="004236A8"/>
    <w:rsid w:val="00426B80"/>
    <w:rsid w:val="004355B3"/>
    <w:rsid w:val="00455953"/>
    <w:rsid w:val="00456789"/>
    <w:rsid w:val="00480096"/>
    <w:rsid w:val="00493AC6"/>
    <w:rsid w:val="004A0095"/>
    <w:rsid w:val="004A3B7B"/>
    <w:rsid w:val="004C35CD"/>
    <w:rsid w:val="004C6120"/>
    <w:rsid w:val="004D4E26"/>
    <w:rsid w:val="004E5131"/>
    <w:rsid w:val="004E71A0"/>
    <w:rsid w:val="004E7325"/>
    <w:rsid w:val="00507DEE"/>
    <w:rsid w:val="005164F6"/>
    <w:rsid w:val="0052133E"/>
    <w:rsid w:val="005509C1"/>
    <w:rsid w:val="005658B7"/>
    <w:rsid w:val="00571062"/>
    <w:rsid w:val="005819E1"/>
    <w:rsid w:val="005821D0"/>
    <w:rsid w:val="00586C98"/>
    <w:rsid w:val="005870B3"/>
    <w:rsid w:val="00594457"/>
    <w:rsid w:val="00594F14"/>
    <w:rsid w:val="00595C3B"/>
    <w:rsid w:val="005D00EC"/>
    <w:rsid w:val="005D47B7"/>
    <w:rsid w:val="006009AF"/>
    <w:rsid w:val="006105F8"/>
    <w:rsid w:val="006320C9"/>
    <w:rsid w:val="00652058"/>
    <w:rsid w:val="00657ADF"/>
    <w:rsid w:val="006677CB"/>
    <w:rsid w:val="00670FBB"/>
    <w:rsid w:val="00672B9B"/>
    <w:rsid w:val="0067427D"/>
    <w:rsid w:val="00687D4C"/>
    <w:rsid w:val="006A1B03"/>
    <w:rsid w:val="006A324E"/>
    <w:rsid w:val="006B79C5"/>
    <w:rsid w:val="006C21B2"/>
    <w:rsid w:val="006C7295"/>
    <w:rsid w:val="006D5A8A"/>
    <w:rsid w:val="006F67A3"/>
    <w:rsid w:val="0071250B"/>
    <w:rsid w:val="00714746"/>
    <w:rsid w:val="0071621A"/>
    <w:rsid w:val="00720E17"/>
    <w:rsid w:val="00741BBB"/>
    <w:rsid w:val="007447CC"/>
    <w:rsid w:val="00761C80"/>
    <w:rsid w:val="00767870"/>
    <w:rsid w:val="00772234"/>
    <w:rsid w:val="007A4688"/>
    <w:rsid w:val="007A759D"/>
    <w:rsid w:val="007B5916"/>
    <w:rsid w:val="007D5644"/>
    <w:rsid w:val="007D6681"/>
    <w:rsid w:val="007F191E"/>
    <w:rsid w:val="00803D0B"/>
    <w:rsid w:val="00806761"/>
    <w:rsid w:val="0080688E"/>
    <w:rsid w:val="00814A62"/>
    <w:rsid w:val="008352BF"/>
    <w:rsid w:val="008362C7"/>
    <w:rsid w:val="00837C19"/>
    <w:rsid w:val="008512A2"/>
    <w:rsid w:val="00862A7B"/>
    <w:rsid w:val="00876CBB"/>
    <w:rsid w:val="00884AE0"/>
    <w:rsid w:val="00884F2A"/>
    <w:rsid w:val="0089042D"/>
    <w:rsid w:val="008909BA"/>
    <w:rsid w:val="008939A4"/>
    <w:rsid w:val="008979C5"/>
    <w:rsid w:val="008B1B22"/>
    <w:rsid w:val="008F1B33"/>
    <w:rsid w:val="00902969"/>
    <w:rsid w:val="0091539F"/>
    <w:rsid w:val="00917E5F"/>
    <w:rsid w:val="00925A4F"/>
    <w:rsid w:val="009271AE"/>
    <w:rsid w:val="00927FD4"/>
    <w:rsid w:val="009523CA"/>
    <w:rsid w:val="00954AFF"/>
    <w:rsid w:val="00961159"/>
    <w:rsid w:val="009925BA"/>
    <w:rsid w:val="009A1A64"/>
    <w:rsid w:val="009B1443"/>
    <w:rsid w:val="009C1553"/>
    <w:rsid w:val="009D03BC"/>
    <w:rsid w:val="009E581C"/>
    <w:rsid w:val="009F4963"/>
    <w:rsid w:val="009F69DD"/>
    <w:rsid w:val="00A05555"/>
    <w:rsid w:val="00A12C83"/>
    <w:rsid w:val="00A153A3"/>
    <w:rsid w:val="00A24576"/>
    <w:rsid w:val="00A34C28"/>
    <w:rsid w:val="00A402AE"/>
    <w:rsid w:val="00A52E10"/>
    <w:rsid w:val="00A5458F"/>
    <w:rsid w:val="00A555AA"/>
    <w:rsid w:val="00A57BB5"/>
    <w:rsid w:val="00A63401"/>
    <w:rsid w:val="00A74C9E"/>
    <w:rsid w:val="00A75DD8"/>
    <w:rsid w:val="00A80D98"/>
    <w:rsid w:val="00A84E00"/>
    <w:rsid w:val="00A95A9C"/>
    <w:rsid w:val="00A95E53"/>
    <w:rsid w:val="00A96CE2"/>
    <w:rsid w:val="00AA09D1"/>
    <w:rsid w:val="00AA778F"/>
    <w:rsid w:val="00AB2732"/>
    <w:rsid w:val="00AC00A2"/>
    <w:rsid w:val="00AC1102"/>
    <w:rsid w:val="00AC3F85"/>
    <w:rsid w:val="00AF334E"/>
    <w:rsid w:val="00B02B49"/>
    <w:rsid w:val="00B03023"/>
    <w:rsid w:val="00B13AC7"/>
    <w:rsid w:val="00B36634"/>
    <w:rsid w:val="00B36A6A"/>
    <w:rsid w:val="00B477E3"/>
    <w:rsid w:val="00B57C71"/>
    <w:rsid w:val="00B71EE6"/>
    <w:rsid w:val="00B772A1"/>
    <w:rsid w:val="00B84FAA"/>
    <w:rsid w:val="00B93804"/>
    <w:rsid w:val="00B97F7C"/>
    <w:rsid w:val="00BA7E20"/>
    <w:rsid w:val="00BB6655"/>
    <w:rsid w:val="00BD2E7E"/>
    <w:rsid w:val="00BD4136"/>
    <w:rsid w:val="00BE0D0B"/>
    <w:rsid w:val="00BE75A4"/>
    <w:rsid w:val="00BF0CEC"/>
    <w:rsid w:val="00BF6792"/>
    <w:rsid w:val="00C02ED8"/>
    <w:rsid w:val="00C10837"/>
    <w:rsid w:val="00C1145C"/>
    <w:rsid w:val="00C1207D"/>
    <w:rsid w:val="00C14700"/>
    <w:rsid w:val="00C20BF4"/>
    <w:rsid w:val="00C226F3"/>
    <w:rsid w:val="00C35B14"/>
    <w:rsid w:val="00C41AC6"/>
    <w:rsid w:val="00C627DF"/>
    <w:rsid w:val="00C71E4F"/>
    <w:rsid w:val="00C72847"/>
    <w:rsid w:val="00C73E7E"/>
    <w:rsid w:val="00C75F08"/>
    <w:rsid w:val="00CA7ABF"/>
    <w:rsid w:val="00CF2DAD"/>
    <w:rsid w:val="00D016A1"/>
    <w:rsid w:val="00D03153"/>
    <w:rsid w:val="00D048EF"/>
    <w:rsid w:val="00D30A2D"/>
    <w:rsid w:val="00D313ED"/>
    <w:rsid w:val="00D351AF"/>
    <w:rsid w:val="00D41648"/>
    <w:rsid w:val="00D44B5B"/>
    <w:rsid w:val="00D50B79"/>
    <w:rsid w:val="00D64BBD"/>
    <w:rsid w:val="00D71415"/>
    <w:rsid w:val="00D852BD"/>
    <w:rsid w:val="00D93A9F"/>
    <w:rsid w:val="00D94281"/>
    <w:rsid w:val="00DA0699"/>
    <w:rsid w:val="00DA0B28"/>
    <w:rsid w:val="00DB0C5D"/>
    <w:rsid w:val="00DC2080"/>
    <w:rsid w:val="00DC253E"/>
    <w:rsid w:val="00DC5C15"/>
    <w:rsid w:val="00DD6164"/>
    <w:rsid w:val="00DE09C6"/>
    <w:rsid w:val="00DF14E3"/>
    <w:rsid w:val="00DF1DFE"/>
    <w:rsid w:val="00DF4EDA"/>
    <w:rsid w:val="00E0011E"/>
    <w:rsid w:val="00E07547"/>
    <w:rsid w:val="00E13F4E"/>
    <w:rsid w:val="00E15FB9"/>
    <w:rsid w:val="00E36750"/>
    <w:rsid w:val="00E45B44"/>
    <w:rsid w:val="00E47D60"/>
    <w:rsid w:val="00E50DA6"/>
    <w:rsid w:val="00E52E8C"/>
    <w:rsid w:val="00E53567"/>
    <w:rsid w:val="00E544A4"/>
    <w:rsid w:val="00E60103"/>
    <w:rsid w:val="00E64645"/>
    <w:rsid w:val="00E70D68"/>
    <w:rsid w:val="00E711BB"/>
    <w:rsid w:val="00E76116"/>
    <w:rsid w:val="00E811B1"/>
    <w:rsid w:val="00E846A6"/>
    <w:rsid w:val="00EA0847"/>
    <w:rsid w:val="00EA4FA5"/>
    <w:rsid w:val="00EA4FB6"/>
    <w:rsid w:val="00ED3913"/>
    <w:rsid w:val="00EE05C8"/>
    <w:rsid w:val="00EE0CAC"/>
    <w:rsid w:val="00EF3A68"/>
    <w:rsid w:val="00F01E81"/>
    <w:rsid w:val="00F243EE"/>
    <w:rsid w:val="00F40234"/>
    <w:rsid w:val="00F4041B"/>
    <w:rsid w:val="00F45388"/>
    <w:rsid w:val="00F45A76"/>
    <w:rsid w:val="00F45D3C"/>
    <w:rsid w:val="00F4653E"/>
    <w:rsid w:val="00F5774A"/>
    <w:rsid w:val="00F64D69"/>
    <w:rsid w:val="00F65375"/>
    <w:rsid w:val="00F679C3"/>
    <w:rsid w:val="00FA0E0D"/>
    <w:rsid w:val="00FA2198"/>
    <w:rsid w:val="00FA7901"/>
    <w:rsid w:val="00FB06AC"/>
    <w:rsid w:val="00FB43A1"/>
    <w:rsid w:val="00FC0BA7"/>
    <w:rsid w:val="00FC2715"/>
    <w:rsid w:val="00FD77EC"/>
    <w:rsid w:val="00FE69F7"/>
    <w:rsid w:val="00FE7F3E"/>
    <w:rsid w:val="00FF0175"/>
    <w:rsid w:val="00FF0D8F"/>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EE54ED-872C-4562-A260-7E85863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hint="eastAsia"/>
      <w:spacing w:val="-7"/>
    </w:rPr>
  </w:style>
  <w:style w:type="paragraph" w:styleId="a4">
    <w:name w:val="Body Text Indent"/>
    <w:basedOn w:val="a"/>
    <w:semiHidden/>
    <w:pPr>
      <w:ind w:leftChars="404" w:left="1561" w:hangingChars="230" w:hanging="566"/>
    </w:pPr>
    <w:rPr>
      <w:rFonts w:ascii="ＭＳ 明朝"/>
      <w:sz w:val="2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Plain Text"/>
    <w:basedOn w:val="a"/>
    <w:link w:val="aa"/>
    <w:rPr>
      <w:rFonts w:ascii="ＭＳ 明朝" w:hAnsi="Courier New"/>
      <w:szCs w:val="21"/>
      <w:lang w:val="x-none" w:eastAsia="x-none"/>
    </w:rPr>
  </w:style>
  <w:style w:type="paragraph" w:styleId="ab">
    <w:name w:val="Date"/>
    <w:basedOn w:val="a"/>
    <w:next w:val="a"/>
    <w:semiHidden/>
    <w:rPr>
      <w:rFonts w:ascii="ＭＳ 明朝"/>
      <w:sz w:val="22"/>
      <w:szCs w:val="20"/>
    </w:rPr>
  </w:style>
  <w:style w:type="character" w:customStyle="1" w:styleId="a6">
    <w:name w:val="フッター (文字)"/>
    <w:basedOn w:val="a0"/>
    <w:link w:val="a5"/>
    <w:uiPriority w:val="99"/>
    <w:rsid w:val="00EA4FB6"/>
    <w:rPr>
      <w:kern w:val="2"/>
      <w:sz w:val="21"/>
      <w:szCs w:val="24"/>
    </w:rPr>
  </w:style>
  <w:style w:type="character" w:customStyle="1" w:styleId="aa">
    <w:name w:val="書式なし (文字)"/>
    <w:link w:val="a9"/>
    <w:rsid w:val="00057AC5"/>
    <w:rPr>
      <w:rFonts w:ascii="ＭＳ 明朝" w:hAnsi="Courier New" w:cs="Courier New"/>
      <w:kern w:val="2"/>
      <w:sz w:val="21"/>
      <w:szCs w:val="21"/>
    </w:rPr>
  </w:style>
  <w:style w:type="table" w:styleId="ac">
    <w:name w:val="Table Grid"/>
    <w:basedOn w:val="a1"/>
    <w:uiPriority w:val="59"/>
    <w:rsid w:val="0074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4EDA"/>
    <w:rPr>
      <w:rFonts w:ascii="Arial" w:eastAsia="ＭＳ ゴシック" w:hAnsi="Arial"/>
      <w:sz w:val="18"/>
      <w:szCs w:val="18"/>
    </w:rPr>
  </w:style>
  <w:style w:type="character" w:customStyle="1" w:styleId="ae">
    <w:name w:val="吹き出し (文字)"/>
    <w:basedOn w:val="a0"/>
    <w:link w:val="ad"/>
    <w:uiPriority w:val="99"/>
    <w:semiHidden/>
    <w:rsid w:val="00DF4EDA"/>
    <w:rPr>
      <w:rFonts w:ascii="Arial" w:eastAsia="ＭＳ ゴシック" w:hAnsi="Arial" w:cs="Times New Roman"/>
      <w:kern w:val="2"/>
      <w:sz w:val="18"/>
      <w:szCs w:val="18"/>
    </w:rPr>
  </w:style>
  <w:style w:type="paragraph" w:styleId="HTML">
    <w:name w:val="HTML Preformatted"/>
    <w:basedOn w:val="a"/>
    <w:link w:val="HTML0"/>
    <w:semiHidden/>
    <w:rsid w:val="0016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basedOn w:val="a0"/>
    <w:link w:val="HTML"/>
    <w:semiHidden/>
    <w:rsid w:val="00163C6B"/>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ED0B-7E40-4CFA-92D3-0A2632F9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sakae</dc:creator>
  <cp:keywords/>
  <dc:description/>
  <cp:lastModifiedBy>渡邊大夢</cp:lastModifiedBy>
  <cp:revision>2</cp:revision>
  <cp:lastPrinted>2012-03-09T04:38:00Z</cp:lastPrinted>
  <dcterms:created xsi:type="dcterms:W3CDTF">2023-05-25T00:44:00Z</dcterms:created>
  <dcterms:modified xsi:type="dcterms:W3CDTF">2023-05-25T00:44:00Z</dcterms:modified>
</cp:coreProperties>
</file>