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0D" w:rsidRPr="00172968" w:rsidRDefault="00DD2E1C" w:rsidP="004038AB">
      <w:pPr>
        <w:pStyle w:val="ab"/>
      </w:pPr>
      <w:r w:rsidRPr="00172968">
        <w:rPr>
          <w:rFonts w:hint="eastAsia"/>
        </w:rPr>
        <w:t>令和</w:t>
      </w:r>
      <w:r w:rsidR="000008E6">
        <w:rPr>
          <w:rFonts w:hint="eastAsia"/>
        </w:rPr>
        <w:t>6</w:t>
      </w:r>
      <w:r w:rsidR="00325994" w:rsidRPr="00172968">
        <w:rPr>
          <w:rFonts w:hint="eastAsia"/>
        </w:rPr>
        <w:t xml:space="preserve">年度　</w:t>
      </w:r>
      <w:r w:rsidR="00962E0D" w:rsidRPr="00172968">
        <w:rPr>
          <w:rFonts w:hint="eastAsia"/>
        </w:rPr>
        <w:t>学校評価</w:t>
      </w:r>
    </w:p>
    <w:p w:rsidR="007075C4" w:rsidRDefault="00FB277B" w:rsidP="00431FBC">
      <w:pPr>
        <w:ind w:firstLineChars="100" w:firstLine="220"/>
        <w:rPr>
          <w:sz w:val="22"/>
        </w:rPr>
      </w:pPr>
      <w:r w:rsidRPr="0017629F">
        <w:rPr>
          <w:rFonts w:hint="eastAsia"/>
          <w:sz w:val="22"/>
        </w:rPr>
        <w:t>令和</w:t>
      </w:r>
      <w:r w:rsidR="000008E6">
        <w:rPr>
          <w:rFonts w:hint="eastAsia"/>
          <w:sz w:val="22"/>
        </w:rPr>
        <w:t>7</w:t>
      </w:r>
      <w:r w:rsidR="00325994" w:rsidRPr="0017629F">
        <w:rPr>
          <w:rFonts w:hint="eastAsia"/>
          <w:sz w:val="22"/>
        </w:rPr>
        <w:t>年</w:t>
      </w:r>
      <w:r w:rsidR="00FF2975" w:rsidRPr="0017629F">
        <w:rPr>
          <w:rFonts w:hint="eastAsia"/>
          <w:sz w:val="22"/>
        </w:rPr>
        <w:t>2</w:t>
      </w:r>
      <w:r w:rsidR="00325994" w:rsidRPr="0017629F">
        <w:rPr>
          <w:rFonts w:hint="eastAsia"/>
          <w:sz w:val="22"/>
        </w:rPr>
        <w:t>月に、</w:t>
      </w:r>
      <w:r w:rsidR="00431FBC" w:rsidRPr="0017629F">
        <w:rPr>
          <w:rFonts w:hint="eastAsia"/>
          <w:sz w:val="22"/>
        </w:rPr>
        <w:t>教育水準の向上を図り、本学院の目的及び社会的使命を達成するために、</w:t>
      </w:r>
      <w:r w:rsidR="007075C4" w:rsidRPr="0017629F">
        <w:rPr>
          <w:rFonts w:hint="eastAsia"/>
          <w:sz w:val="22"/>
        </w:rPr>
        <w:t>学則第</w:t>
      </w:r>
      <w:r w:rsidR="007075C4" w:rsidRPr="0017629F">
        <w:rPr>
          <w:rFonts w:hint="eastAsia"/>
          <w:sz w:val="22"/>
        </w:rPr>
        <w:t>3</w:t>
      </w:r>
      <w:r w:rsidR="007075C4" w:rsidRPr="0017629F">
        <w:rPr>
          <w:rFonts w:hint="eastAsia"/>
          <w:sz w:val="22"/>
        </w:rPr>
        <w:t>条に基づく、学校運営に関する評価を行いました。</w:t>
      </w:r>
    </w:p>
    <w:p w:rsidR="004E3EC0" w:rsidRDefault="004E3EC0" w:rsidP="00431FBC">
      <w:pPr>
        <w:ind w:firstLineChars="100" w:firstLine="220"/>
        <w:rPr>
          <w:sz w:val="22"/>
        </w:rPr>
      </w:pPr>
      <w:r>
        <w:rPr>
          <w:rFonts w:hint="eastAsia"/>
          <w:sz w:val="22"/>
        </w:rPr>
        <w:t>学校評価の実施方法は、教職員が評価表に基づき評価し、教務会議で協議を行いました。</w:t>
      </w:r>
    </w:p>
    <w:p w:rsidR="004E3EC0" w:rsidRPr="0017629F" w:rsidRDefault="004E3EC0" w:rsidP="00431FBC">
      <w:pPr>
        <w:ind w:firstLineChars="100" w:firstLine="220"/>
        <w:rPr>
          <w:sz w:val="22"/>
        </w:rPr>
      </w:pPr>
      <w:r>
        <w:rPr>
          <w:rFonts w:hint="eastAsia"/>
          <w:sz w:val="22"/>
        </w:rPr>
        <w:t>その結果を教育運営会議で協議し最終評価とします。</w:t>
      </w:r>
    </w:p>
    <w:p w:rsidR="00172968" w:rsidRPr="0017629F" w:rsidRDefault="007075C4" w:rsidP="00172968">
      <w:pPr>
        <w:ind w:firstLineChars="100" w:firstLine="220"/>
        <w:rPr>
          <w:sz w:val="22"/>
        </w:rPr>
      </w:pPr>
      <w:r w:rsidRPr="0017629F">
        <w:rPr>
          <w:rFonts w:hint="eastAsia"/>
          <w:sz w:val="22"/>
        </w:rPr>
        <w:t>評価は、</w:t>
      </w:r>
      <w:r w:rsidR="00431FBC" w:rsidRPr="0017629F">
        <w:rPr>
          <w:rFonts w:hint="eastAsia"/>
          <w:sz w:val="22"/>
        </w:rPr>
        <w:t>「看護師等養成所の教育活動等に関する自己評価指針</w:t>
      </w:r>
      <w:r w:rsidR="00CF3371" w:rsidRPr="0017629F">
        <w:rPr>
          <w:rFonts w:hint="eastAsia"/>
          <w:sz w:val="22"/>
        </w:rPr>
        <w:t>」</w:t>
      </w:r>
      <w:r w:rsidR="00FD09A7" w:rsidRPr="0017629F">
        <w:rPr>
          <w:rFonts w:hint="eastAsia"/>
          <w:sz w:val="22"/>
          <w:vertAlign w:val="superscript"/>
        </w:rPr>
        <w:t>米</w:t>
      </w:r>
      <w:r w:rsidR="00640C2A" w:rsidRPr="0017629F">
        <w:rPr>
          <w:rFonts w:hint="eastAsia"/>
          <w:sz w:val="22"/>
        </w:rPr>
        <w:t>に基づいて</w:t>
      </w:r>
      <w:r w:rsidR="00431FBC" w:rsidRPr="0017629F">
        <w:rPr>
          <w:rFonts w:hint="eastAsia"/>
          <w:sz w:val="22"/>
        </w:rPr>
        <w:t>、</w:t>
      </w:r>
      <w:r w:rsidR="00431FBC" w:rsidRPr="0017629F">
        <w:rPr>
          <w:rFonts w:hint="eastAsia"/>
          <w:sz w:val="22"/>
        </w:rPr>
        <w:t>9</w:t>
      </w:r>
      <w:r w:rsidR="00431FBC" w:rsidRPr="0017629F">
        <w:rPr>
          <w:rFonts w:hint="eastAsia"/>
          <w:sz w:val="22"/>
        </w:rPr>
        <w:t>カテゴリー</w:t>
      </w:r>
      <w:r w:rsidR="003463FA" w:rsidRPr="0017629F">
        <w:rPr>
          <w:rFonts w:hint="eastAsia"/>
          <w:sz w:val="22"/>
        </w:rPr>
        <w:t>125</w:t>
      </w:r>
      <w:r w:rsidR="00431FBC" w:rsidRPr="0017629F">
        <w:rPr>
          <w:rFonts w:hint="eastAsia"/>
          <w:sz w:val="22"/>
        </w:rPr>
        <w:t>項目で行いました。</w:t>
      </w:r>
    </w:p>
    <w:p w:rsidR="00172968" w:rsidRPr="0017629F" w:rsidRDefault="00924E3B" w:rsidP="00172968">
      <w:pPr>
        <w:ind w:firstLineChars="100" w:firstLine="220"/>
        <w:rPr>
          <w:sz w:val="22"/>
        </w:rPr>
      </w:pPr>
      <w:r w:rsidRPr="0017629F">
        <w:rPr>
          <w:rFonts w:hint="eastAsia"/>
          <w:sz w:val="22"/>
        </w:rPr>
        <w:t>基準を　３点：あてはまる、２点：ややあてはまる、１点：あてはまらない、の</w:t>
      </w:r>
      <w:r w:rsidRPr="0017629F">
        <w:rPr>
          <w:rFonts w:hint="eastAsia"/>
          <w:sz w:val="22"/>
        </w:rPr>
        <w:t>3</w:t>
      </w:r>
      <w:r w:rsidRPr="0017629F">
        <w:rPr>
          <w:rFonts w:hint="eastAsia"/>
          <w:sz w:val="22"/>
        </w:rPr>
        <w:t>段階としました。</w:t>
      </w:r>
    </w:p>
    <w:tbl>
      <w:tblPr>
        <w:tblStyle w:val="a6"/>
        <w:tblpPr w:leftFromText="142" w:rightFromText="142" w:vertAnchor="page" w:horzAnchor="margin" w:tblpY="4537"/>
        <w:tblW w:w="10632" w:type="dxa"/>
        <w:tblLook w:val="04A0" w:firstRow="1" w:lastRow="0" w:firstColumn="1" w:lastColumn="0" w:noHBand="0" w:noVBand="1"/>
      </w:tblPr>
      <w:tblGrid>
        <w:gridCol w:w="2549"/>
        <w:gridCol w:w="5632"/>
        <w:gridCol w:w="939"/>
        <w:gridCol w:w="1512"/>
      </w:tblGrid>
      <w:tr w:rsidR="00172968" w:rsidRPr="00172968" w:rsidTr="00172968">
        <w:tc>
          <w:tcPr>
            <w:tcW w:w="2553" w:type="dxa"/>
          </w:tcPr>
          <w:p w:rsidR="00172968" w:rsidRPr="00172968" w:rsidRDefault="00172968" w:rsidP="0017629F">
            <w:pPr>
              <w:spacing w:line="276" w:lineRule="auto"/>
              <w:jc w:val="center"/>
              <w:rPr>
                <w:sz w:val="22"/>
              </w:rPr>
            </w:pPr>
            <w:r w:rsidRPr="00172968">
              <w:rPr>
                <w:rFonts w:hint="eastAsia"/>
                <w:sz w:val="22"/>
              </w:rPr>
              <w:t>評価項目</w:t>
            </w:r>
          </w:p>
        </w:tc>
        <w:tc>
          <w:tcPr>
            <w:tcW w:w="5641" w:type="dxa"/>
          </w:tcPr>
          <w:p w:rsidR="00172968" w:rsidRPr="00172968" w:rsidRDefault="00172968" w:rsidP="0017629F">
            <w:pPr>
              <w:spacing w:line="276" w:lineRule="auto"/>
              <w:jc w:val="center"/>
              <w:rPr>
                <w:sz w:val="22"/>
              </w:rPr>
            </w:pPr>
            <w:r w:rsidRPr="00172968">
              <w:rPr>
                <w:rFonts w:hint="eastAsia"/>
                <w:sz w:val="22"/>
              </w:rPr>
              <w:t>評価の概要</w:t>
            </w:r>
          </w:p>
        </w:tc>
        <w:tc>
          <w:tcPr>
            <w:tcW w:w="939" w:type="dxa"/>
          </w:tcPr>
          <w:p w:rsidR="00172968" w:rsidRPr="00172968" w:rsidRDefault="00172968" w:rsidP="0017629F">
            <w:pPr>
              <w:spacing w:line="276" w:lineRule="auto"/>
              <w:rPr>
                <w:sz w:val="22"/>
              </w:rPr>
            </w:pPr>
            <w:r w:rsidRPr="00172968">
              <w:rPr>
                <w:rFonts w:hint="eastAsia"/>
                <w:sz w:val="22"/>
              </w:rPr>
              <w:t>項目数</w:t>
            </w:r>
          </w:p>
        </w:tc>
        <w:tc>
          <w:tcPr>
            <w:tcW w:w="1499" w:type="dxa"/>
          </w:tcPr>
          <w:p w:rsidR="00172968" w:rsidRPr="00172968" w:rsidRDefault="00172968" w:rsidP="0017629F">
            <w:pPr>
              <w:spacing w:line="276" w:lineRule="auto"/>
              <w:rPr>
                <w:sz w:val="22"/>
              </w:rPr>
            </w:pPr>
            <w:r w:rsidRPr="00172968">
              <w:rPr>
                <w:rFonts w:hint="eastAsia"/>
                <w:sz w:val="22"/>
              </w:rPr>
              <w:t>評価の平均（四捨五入）</w:t>
            </w:r>
          </w:p>
        </w:tc>
      </w:tr>
      <w:tr w:rsidR="00172968" w:rsidRPr="00172968" w:rsidTr="00172968">
        <w:tc>
          <w:tcPr>
            <w:tcW w:w="2553" w:type="dxa"/>
          </w:tcPr>
          <w:p w:rsidR="00172968" w:rsidRPr="00172968" w:rsidRDefault="00172968" w:rsidP="0017629F">
            <w:pPr>
              <w:spacing w:line="276" w:lineRule="auto"/>
              <w:rPr>
                <w:sz w:val="22"/>
              </w:rPr>
            </w:pPr>
            <w:r w:rsidRPr="00172968">
              <w:rPr>
                <w:rFonts w:hint="eastAsia"/>
                <w:sz w:val="22"/>
              </w:rPr>
              <w:t>Ⅰ　教育理念・教育目的</w:t>
            </w:r>
          </w:p>
        </w:tc>
        <w:tc>
          <w:tcPr>
            <w:tcW w:w="5641" w:type="dxa"/>
          </w:tcPr>
          <w:p w:rsidR="00172968" w:rsidRPr="00172968" w:rsidRDefault="00172968" w:rsidP="0017629F">
            <w:pPr>
              <w:spacing w:line="276" w:lineRule="auto"/>
              <w:rPr>
                <w:sz w:val="22"/>
              </w:rPr>
            </w:pPr>
            <w:r w:rsidRPr="00172968">
              <w:rPr>
                <w:rFonts w:hint="eastAsia"/>
                <w:sz w:val="22"/>
              </w:rPr>
              <w:t>養成所の教育理念･教育目的が、教職員と学生に理解され、卒業時の学生の様子に反映されているか。</w:t>
            </w:r>
          </w:p>
        </w:tc>
        <w:tc>
          <w:tcPr>
            <w:tcW w:w="939" w:type="dxa"/>
          </w:tcPr>
          <w:p w:rsidR="00172968" w:rsidRPr="00172968" w:rsidRDefault="00172968" w:rsidP="0017629F">
            <w:pPr>
              <w:spacing w:line="276" w:lineRule="auto"/>
              <w:ind w:firstLine="220"/>
              <w:rPr>
                <w:sz w:val="22"/>
              </w:rPr>
            </w:pPr>
            <w:r w:rsidRPr="00172968">
              <w:rPr>
                <w:rFonts w:hint="eastAsia"/>
                <w:sz w:val="22"/>
              </w:rPr>
              <w:t>11</w:t>
            </w:r>
          </w:p>
        </w:tc>
        <w:tc>
          <w:tcPr>
            <w:tcW w:w="1499" w:type="dxa"/>
          </w:tcPr>
          <w:p w:rsidR="00172968" w:rsidRPr="00172968" w:rsidRDefault="000008E6" w:rsidP="0017629F">
            <w:pPr>
              <w:spacing w:line="276" w:lineRule="auto"/>
              <w:ind w:right="440" w:firstLine="550"/>
              <w:jc w:val="right"/>
              <w:rPr>
                <w:sz w:val="22"/>
              </w:rPr>
            </w:pPr>
            <w:r>
              <w:rPr>
                <w:rFonts w:hint="eastAsia"/>
                <w:sz w:val="22"/>
              </w:rPr>
              <w:t>2.8</w:t>
            </w:r>
          </w:p>
          <w:p w:rsidR="00172968" w:rsidRPr="00172968" w:rsidRDefault="00172968" w:rsidP="0017629F">
            <w:pPr>
              <w:spacing w:line="276" w:lineRule="auto"/>
              <w:jc w:val="right"/>
              <w:rPr>
                <w:sz w:val="22"/>
              </w:rPr>
            </w:pPr>
          </w:p>
        </w:tc>
      </w:tr>
      <w:tr w:rsidR="00172968" w:rsidRPr="00172968" w:rsidTr="00172968">
        <w:tc>
          <w:tcPr>
            <w:tcW w:w="2553" w:type="dxa"/>
          </w:tcPr>
          <w:p w:rsidR="00172968" w:rsidRPr="00172968" w:rsidRDefault="00172968" w:rsidP="0017629F">
            <w:pPr>
              <w:spacing w:line="276" w:lineRule="auto"/>
              <w:rPr>
                <w:sz w:val="22"/>
              </w:rPr>
            </w:pPr>
            <w:r w:rsidRPr="00172968">
              <w:rPr>
                <w:rFonts w:hint="eastAsia"/>
                <w:sz w:val="22"/>
              </w:rPr>
              <w:t>Ⅱ　教育目標</w:t>
            </w:r>
          </w:p>
        </w:tc>
        <w:tc>
          <w:tcPr>
            <w:tcW w:w="5641" w:type="dxa"/>
          </w:tcPr>
          <w:p w:rsidR="00172968" w:rsidRPr="00172968" w:rsidRDefault="00172968" w:rsidP="0017629F">
            <w:pPr>
              <w:spacing w:line="276" w:lineRule="auto"/>
              <w:rPr>
                <w:sz w:val="22"/>
              </w:rPr>
            </w:pPr>
            <w:r w:rsidRPr="00172968">
              <w:rPr>
                <w:rFonts w:hint="eastAsia"/>
                <w:sz w:val="22"/>
              </w:rPr>
              <w:t>教育理念･教育目的と教育目標が一貫しているか。教職員と学生が目標を理解しているか。</w:t>
            </w:r>
          </w:p>
        </w:tc>
        <w:tc>
          <w:tcPr>
            <w:tcW w:w="939" w:type="dxa"/>
          </w:tcPr>
          <w:p w:rsidR="00172968" w:rsidRPr="00172968" w:rsidRDefault="00172968" w:rsidP="0017629F">
            <w:pPr>
              <w:spacing w:line="276" w:lineRule="auto"/>
              <w:rPr>
                <w:sz w:val="22"/>
              </w:rPr>
            </w:pPr>
            <w:r w:rsidRPr="00172968">
              <w:rPr>
                <w:rFonts w:hint="eastAsia"/>
                <w:sz w:val="22"/>
              </w:rPr>
              <w:t xml:space="preserve">　</w:t>
            </w:r>
            <w:r w:rsidRPr="00172968">
              <w:rPr>
                <w:rFonts w:hint="eastAsia"/>
                <w:sz w:val="22"/>
              </w:rPr>
              <w:t>7</w:t>
            </w:r>
          </w:p>
        </w:tc>
        <w:tc>
          <w:tcPr>
            <w:tcW w:w="1499" w:type="dxa"/>
          </w:tcPr>
          <w:p w:rsidR="00172968" w:rsidRPr="00172968" w:rsidRDefault="00172968" w:rsidP="0017629F">
            <w:pPr>
              <w:spacing w:line="276" w:lineRule="auto"/>
              <w:ind w:right="440"/>
              <w:jc w:val="right"/>
              <w:rPr>
                <w:sz w:val="22"/>
              </w:rPr>
            </w:pPr>
            <w:r w:rsidRPr="00172968">
              <w:rPr>
                <w:rFonts w:hint="eastAsia"/>
                <w:sz w:val="22"/>
              </w:rPr>
              <w:t>3.0</w:t>
            </w:r>
          </w:p>
        </w:tc>
      </w:tr>
      <w:tr w:rsidR="00172968" w:rsidRPr="00172968" w:rsidTr="00172968">
        <w:tc>
          <w:tcPr>
            <w:tcW w:w="2553" w:type="dxa"/>
          </w:tcPr>
          <w:p w:rsidR="00172968" w:rsidRPr="00172968" w:rsidRDefault="00172968" w:rsidP="0017629F">
            <w:pPr>
              <w:spacing w:line="276" w:lineRule="auto"/>
              <w:rPr>
                <w:sz w:val="22"/>
              </w:rPr>
            </w:pPr>
            <w:r w:rsidRPr="00172968">
              <w:rPr>
                <w:rFonts w:hint="eastAsia"/>
                <w:sz w:val="22"/>
              </w:rPr>
              <w:t>Ⅲ　教育課程経営</w:t>
            </w:r>
          </w:p>
        </w:tc>
        <w:tc>
          <w:tcPr>
            <w:tcW w:w="5641" w:type="dxa"/>
          </w:tcPr>
          <w:p w:rsidR="00172968" w:rsidRPr="00172968" w:rsidRDefault="00172968" w:rsidP="0017629F">
            <w:pPr>
              <w:spacing w:line="276" w:lineRule="auto"/>
              <w:rPr>
                <w:sz w:val="22"/>
              </w:rPr>
            </w:pPr>
            <w:r w:rsidRPr="00172968">
              <w:rPr>
                <w:rFonts w:hint="eastAsia"/>
                <w:sz w:val="22"/>
              </w:rPr>
              <w:t>教育理念･教育目的の達成に向けて、教育目標が達成できる一貫した科目構成になっているか。</w:t>
            </w:r>
          </w:p>
        </w:tc>
        <w:tc>
          <w:tcPr>
            <w:tcW w:w="939" w:type="dxa"/>
          </w:tcPr>
          <w:p w:rsidR="00172968" w:rsidRPr="00172968" w:rsidRDefault="00172968" w:rsidP="0017629F">
            <w:pPr>
              <w:spacing w:line="276" w:lineRule="auto"/>
              <w:ind w:firstLine="220"/>
              <w:rPr>
                <w:sz w:val="22"/>
              </w:rPr>
            </w:pPr>
            <w:r w:rsidRPr="00172968">
              <w:rPr>
                <w:rFonts w:hint="eastAsia"/>
                <w:sz w:val="22"/>
              </w:rPr>
              <w:t>31</w:t>
            </w:r>
          </w:p>
        </w:tc>
        <w:tc>
          <w:tcPr>
            <w:tcW w:w="1499" w:type="dxa"/>
          </w:tcPr>
          <w:p w:rsidR="00172968" w:rsidRPr="00172968" w:rsidRDefault="000008E6" w:rsidP="0017629F">
            <w:pPr>
              <w:spacing w:line="276" w:lineRule="auto"/>
              <w:ind w:right="440" w:firstLine="550"/>
              <w:jc w:val="right"/>
              <w:rPr>
                <w:sz w:val="22"/>
              </w:rPr>
            </w:pPr>
            <w:r>
              <w:rPr>
                <w:rFonts w:hint="eastAsia"/>
                <w:sz w:val="22"/>
              </w:rPr>
              <w:t>2.8</w:t>
            </w:r>
          </w:p>
        </w:tc>
      </w:tr>
      <w:tr w:rsidR="00172968" w:rsidRPr="00172968" w:rsidTr="00172968">
        <w:tc>
          <w:tcPr>
            <w:tcW w:w="2553" w:type="dxa"/>
          </w:tcPr>
          <w:p w:rsidR="00172968" w:rsidRPr="00172968" w:rsidRDefault="00172968" w:rsidP="0017629F">
            <w:pPr>
              <w:spacing w:line="276" w:lineRule="auto"/>
              <w:rPr>
                <w:sz w:val="22"/>
              </w:rPr>
            </w:pPr>
            <w:r w:rsidRPr="00172968">
              <w:rPr>
                <w:rFonts w:hint="eastAsia"/>
                <w:sz w:val="22"/>
              </w:rPr>
              <w:t>Ⅳ　教授･学習･評価過程</w:t>
            </w:r>
          </w:p>
        </w:tc>
        <w:tc>
          <w:tcPr>
            <w:tcW w:w="5641" w:type="dxa"/>
          </w:tcPr>
          <w:p w:rsidR="00172968" w:rsidRPr="00172968" w:rsidRDefault="00172968" w:rsidP="0017629F">
            <w:pPr>
              <w:spacing w:line="276" w:lineRule="auto"/>
              <w:rPr>
                <w:sz w:val="22"/>
              </w:rPr>
            </w:pPr>
            <w:r w:rsidRPr="00172968">
              <w:rPr>
                <w:rFonts w:hint="eastAsia"/>
                <w:sz w:val="22"/>
              </w:rPr>
              <w:t>教育理念･教育目的の達成に向けて、講義・実習の内容の精選が行われ計画的に実施･評価されているか。</w:t>
            </w:r>
          </w:p>
        </w:tc>
        <w:tc>
          <w:tcPr>
            <w:tcW w:w="939" w:type="dxa"/>
          </w:tcPr>
          <w:p w:rsidR="00172968" w:rsidRPr="00172968" w:rsidRDefault="00172968" w:rsidP="0017629F">
            <w:pPr>
              <w:spacing w:line="276" w:lineRule="auto"/>
              <w:ind w:firstLine="220"/>
              <w:rPr>
                <w:sz w:val="22"/>
              </w:rPr>
            </w:pPr>
            <w:r w:rsidRPr="00172968">
              <w:rPr>
                <w:rFonts w:hint="eastAsia"/>
                <w:sz w:val="22"/>
              </w:rPr>
              <w:t>17</w:t>
            </w:r>
          </w:p>
        </w:tc>
        <w:tc>
          <w:tcPr>
            <w:tcW w:w="1499" w:type="dxa"/>
          </w:tcPr>
          <w:p w:rsidR="00172968" w:rsidRPr="00172968" w:rsidRDefault="000008E6" w:rsidP="0017629F">
            <w:pPr>
              <w:spacing w:line="276" w:lineRule="auto"/>
              <w:ind w:right="440" w:firstLine="550"/>
              <w:jc w:val="right"/>
              <w:rPr>
                <w:sz w:val="22"/>
              </w:rPr>
            </w:pPr>
            <w:r>
              <w:rPr>
                <w:rFonts w:hint="eastAsia"/>
                <w:sz w:val="22"/>
              </w:rPr>
              <w:t>2.8</w:t>
            </w:r>
          </w:p>
        </w:tc>
      </w:tr>
      <w:tr w:rsidR="00172968" w:rsidRPr="00172968" w:rsidTr="00172968">
        <w:tc>
          <w:tcPr>
            <w:tcW w:w="2553" w:type="dxa"/>
          </w:tcPr>
          <w:p w:rsidR="00172968" w:rsidRPr="00172968" w:rsidRDefault="00172968" w:rsidP="0017629F">
            <w:pPr>
              <w:spacing w:line="276" w:lineRule="auto"/>
              <w:rPr>
                <w:sz w:val="22"/>
              </w:rPr>
            </w:pPr>
            <w:r w:rsidRPr="00172968">
              <w:rPr>
                <w:rFonts w:hint="eastAsia"/>
                <w:sz w:val="22"/>
              </w:rPr>
              <w:t>Ⅴ　経営･管理過程</w:t>
            </w:r>
          </w:p>
        </w:tc>
        <w:tc>
          <w:tcPr>
            <w:tcW w:w="5641" w:type="dxa"/>
          </w:tcPr>
          <w:p w:rsidR="00172968" w:rsidRPr="00172968" w:rsidRDefault="00172968" w:rsidP="0017629F">
            <w:pPr>
              <w:spacing w:line="276" w:lineRule="auto"/>
              <w:rPr>
                <w:sz w:val="22"/>
              </w:rPr>
            </w:pPr>
            <w:r w:rsidRPr="00172968">
              <w:rPr>
                <w:rFonts w:hint="eastAsia"/>
                <w:sz w:val="22"/>
              </w:rPr>
              <w:t>将来構想を元に計画的に管理運営しているか。学生生活の支援体制が整っているか。</w:t>
            </w:r>
          </w:p>
        </w:tc>
        <w:tc>
          <w:tcPr>
            <w:tcW w:w="939" w:type="dxa"/>
          </w:tcPr>
          <w:p w:rsidR="00172968" w:rsidRPr="00172968" w:rsidRDefault="00172968" w:rsidP="0017629F">
            <w:pPr>
              <w:spacing w:line="276" w:lineRule="auto"/>
              <w:ind w:firstLine="220"/>
              <w:rPr>
                <w:sz w:val="22"/>
              </w:rPr>
            </w:pPr>
            <w:r w:rsidRPr="00172968">
              <w:rPr>
                <w:rFonts w:hint="eastAsia"/>
                <w:sz w:val="22"/>
              </w:rPr>
              <w:t>36</w:t>
            </w:r>
          </w:p>
        </w:tc>
        <w:tc>
          <w:tcPr>
            <w:tcW w:w="1499" w:type="dxa"/>
          </w:tcPr>
          <w:p w:rsidR="00172968" w:rsidRPr="00172968" w:rsidRDefault="000008E6" w:rsidP="0017629F">
            <w:pPr>
              <w:spacing w:line="276" w:lineRule="auto"/>
              <w:ind w:right="440" w:firstLine="550"/>
              <w:jc w:val="right"/>
              <w:rPr>
                <w:sz w:val="22"/>
              </w:rPr>
            </w:pPr>
            <w:r>
              <w:rPr>
                <w:rFonts w:hint="eastAsia"/>
                <w:sz w:val="22"/>
              </w:rPr>
              <w:t>2.7</w:t>
            </w:r>
          </w:p>
        </w:tc>
      </w:tr>
      <w:tr w:rsidR="00172968" w:rsidRPr="00172968" w:rsidTr="00172968">
        <w:tc>
          <w:tcPr>
            <w:tcW w:w="2553" w:type="dxa"/>
          </w:tcPr>
          <w:p w:rsidR="00172968" w:rsidRPr="00172968" w:rsidRDefault="00172968" w:rsidP="0017629F">
            <w:pPr>
              <w:spacing w:line="276" w:lineRule="auto"/>
              <w:rPr>
                <w:sz w:val="22"/>
              </w:rPr>
            </w:pPr>
            <w:r w:rsidRPr="00172968">
              <w:rPr>
                <w:rFonts w:hint="eastAsia"/>
                <w:sz w:val="22"/>
              </w:rPr>
              <w:t>Ⅵ　入学</w:t>
            </w:r>
          </w:p>
        </w:tc>
        <w:tc>
          <w:tcPr>
            <w:tcW w:w="5641" w:type="dxa"/>
          </w:tcPr>
          <w:p w:rsidR="00172968" w:rsidRPr="00172968" w:rsidRDefault="00172968" w:rsidP="0017629F">
            <w:pPr>
              <w:spacing w:line="276" w:lineRule="auto"/>
              <w:rPr>
                <w:sz w:val="22"/>
              </w:rPr>
            </w:pPr>
            <w:r w:rsidRPr="00172968">
              <w:rPr>
                <w:rFonts w:hint="eastAsia"/>
                <w:sz w:val="22"/>
              </w:rPr>
              <w:t>教育理念に基づいた学生の確保のため、適正な選抜と、実施状況の分析をしているか。</w:t>
            </w:r>
          </w:p>
        </w:tc>
        <w:tc>
          <w:tcPr>
            <w:tcW w:w="939" w:type="dxa"/>
          </w:tcPr>
          <w:p w:rsidR="00172968" w:rsidRPr="00172968" w:rsidRDefault="00172968" w:rsidP="0017629F">
            <w:pPr>
              <w:spacing w:line="276" w:lineRule="auto"/>
              <w:rPr>
                <w:sz w:val="22"/>
              </w:rPr>
            </w:pPr>
            <w:r w:rsidRPr="00172968">
              <w:rPr>
                <w:rFonts w:hint="eastAsia"/>
                <w:sz w:val="22"/>
              </w:rPr>
              <w:t xml:space="preserve">　</w:t>
            </w:r>
            <w:r w:rsidRPr="00172968">
              <w:rPr>
                <w:rFonts w:hint="eastAsia"/>
                <w:sz w:val="22"/>
              </w:rPr>
              <w:t>2</w:t>
            </w:r>
          </w:p>
        </w:tc>
        <w:tc>
          <w:tcPr>
            <w:tcW w:w="1499" w:type="dxa"/>
          </w:tcPr>
          <w:p w:rsidR="00172968" w:rsidRPr="00172968" w:rsidRDefault="00172968" w:rsidP="0017629F">
            <w:pPr>
              <w:spacing w:line="276" w:lineRule="auto"/>
              <w:ind w:right="440"/>
              <w:jc w:val="right"/>
              <w:rPr>
                <w:sz w:val="22"/>
              </w:rPr>
            </w:pPr>
            <w:r w:rsidRPr="00172968">
              <w:rPr>
                <w:rFonts w:hint="eastAsia"/>
                <w:sz w:val="22"/>
              </w:rPr>
              <w:t>3.0</w:t>
            </w:r>
          </w:p>
        </w:tc>
      </w:tr>
      <w:tr w:rsidR="00172968" w:rsidRPr="00172968" w:rsidTr="00172968">
        <w:tc>
          <w:tcPr>
            <w:tcW w:w="2553" w:type="dxa"/>
          </w:tcPr>
          <w:p w:rsidR="00172968" w:rsidRPr="00172968" w:rsidRDefault="00172968" w:rsidP="0017629F">
            <w:pPr>
              <w:spacing w:line="276" w:lineRule="auto"/>
              <w:rPr>
                <w:sz w:val="22"/>
              </w:rPr>
            </w:pPr>
            <w:r w:rsidRPr="00172968">
              <w:rPr>
                <w:rFonts w:hint="eastAsia"/>
                <w:sz w:val="22"/>
              </w:rPr>
              <w:t>Ⅶ　卒業･就職･進学</w:t>
            </w:r>
          </w:p>
        </w:tc>
        <w:tc>
          <w:tcPr>
            <w:tcW w:w="5641" w:type="dxa"/>
          </w:tcPr>
          <w:p w:rsidR="00172968" w:rsidRPr="00172968" w:rsidRDefault="00172968" w:rsidP="0017629F">
            <w:pPr>
              <w:spacing w:line="276" w:lineRule="auto"/>
              <w:rPr>
                <w:sz w:val="22"/>
              </w:rPr>
            </w:pPr>
            <w:r w:rsidRPr="00172968">
              <w:rPr>
                <w:rFonts w:hint="eastAsia"/>
                <w:sz w:val="22"/>
              </w:rPr>
              <w:t>卒業時の到達状況、進路、国家試験の合格状況を分析し、教育活動に生かしているか。</w:t>
            </w:r>
          </w:p>
        </w:tc>
        <w:tc>
          <w:tcPr>
            <w:tcW w:w="939" w:type="dxa"/>
          </w:tcPr>
          <w:p w:rsidR="00172968" w:rsidRPr="00172968" w:rsidRDefault="00172968" w:rsidP="0017629F">
            <w:pPr>
              <w:spacing w:line="276" w:lineRule="auto"/>
              <w:rPr>
                <w:sz w:val="22"/>
              </w:rPr>
            </w:pPr>
            <w:r w:rsidRPr="00172968">
              <w:rPr>
                <w:rFonts w:hint="eastAsia"/>
                <w:sz w:val="22"/>
              </w:rPr>
              <w:t xml:space="preserve">　</w:t>
            </w:r>
            <w:r w:rsidRPr="00172968">
              <w:rPr>
                <w:rFonts w:hint="eastAsia"/>
                <w:sz w:val="22"/>
              </w:rPr>
              <w:t>8</w:t>
            </w:r>
          </w:p>
        </w:tc>
        <w:tc>
          <w:tcPr>
            <w:tcW w:w="1499" w:type="dxa"/>
          </w:tcPr>
          <w:p w:rsidR="00172968" w:rsidRPr="00172968" w:rsidRDefault="000008E6" w:rsidP="0017629F">
            <w:pPr>
              <w:spacing w:line="276" w:lineRule="auto"/>
              <w:ind w:right="440"/>
              <w:jc w:val="right"/>
              <w:rPr>
                <w:sz w:val="22"/>
              </w:rPr>
            </w:pPr>
            <w:r>
              <w:rPr>
                <w:rFonts w:hint="eastAsia"/>
                <w:sz w:val="22"/>
              </w:rPr>
              <w:t>3.0</w:t>
            </w:r>
          </w:p>
        </w:tc>
      </w:tr>
      <w:tr w:rsidR="00172968" w:rsidRPr="00172968" w:rsidTr="00172968">
        <w:tc>
          <w:tcPr>
            <w:tcW w:w="2553" w:type="dxa"/>
          </w:tcPr>
          <w:p w:rsidR="00172968" w:rsidRPr="00172968" w:rsidRDefault="00172968" w:rsidP="0017629F">
            <w:pPr>
              <w:spacing w:line="276" w:lineRule="auto"/>
              <w:rPr>
                <w:sz w:val="22"/>
              </w:rPr>
            </w:pPr>
            <w:r w:rsidRPr="00172968">
              <w:rPr>
                <w:rFonts w:hint="eastAsia"/>
                <w:sz w:val="22"/>
              </w:rPr>
              <w:t>Ⅷ　地域社会</w:t>
            </w:r>
            <w:r w:rsidRPr="00172968">
              <w:rPr>
                <w:rFonts w:hint="eastAsia"/>
                <w:sz w:val="22"/>
              </w:rPr>
              <w:t>/</w:t>
            </w:r>
            <w:r w:rsidRPr="00172968">
              <w:rPr>
                <w:rFonts w:hint="eastAsia"/>
                <w:sz w:val="22"/>
              </w:rPr>
              <w:t>国際交流</w:t>
            </w:r>
          </w:p>
        </w:tc>
        <w:tc>
          <w:tcPr>
            <w:tcW w:w="5641" w:type="dxa"/>
          </w:tcPr>
          <w:p w:rsidR="00172968" w:rsidRPr="00172968" w:rsidRDefault="00172968" w:rsidP="0017629F">
            <w:pPr>
              <w:spacing w:line="276" w:lineRule="auto"/>
              <w:rPr>
                <w:sz w:val="22"/>
              </w:rPr>
            </w:pPr>
            <w:r w:rsidRPr="00172968">
              <w:rPr>
                <w:rFonts w:hint="eastAsia"/>
                <w:sz w:val="22"/>
              </w:rPr>
              <w:t>地域社会のニーズをふまえた社会貢献ができているか。国際的視野をふまえた教育がされているか。</w:t>
            </w:r>
          </w:p>
        </w:tc>
        <w:tc>
          <w:tcPr>
            <w:tcW w:w="939" w:type="dxa"/>
          </w:tcPr>
          <w:p w:rsidR="00172968" w:rsidRPr="00172968" w:rsidRDefault="00172968" w:rsidP="0017629F">
            <w:pPr>
              <w:spacing w:line="276" w:lineRule="auto"/>
              <w:ind w:firstLine="220"/>
              <w:rPr>
                <w:sz w:val="22"/>
              </w:rPr>
            </w:pPr>
            <w:r w:rsidRPr="00172968">
              <w:rPr>
                <w:rFonts w:hint="eastAsia"/>
                <w:sz w:val="22"/>
              </w:rPr>
              <w:t>10</w:t>
            </w:r>
          </w:p>
        </w:tc>
        <w:tc>
          <w:tcPr>
            <w:tcW w:w="1499" w:type="dxa"/>
          </w:tcPr>
          <w:p w:rsidR="00172968" w:rsidRPr="00172968" w:rsidRDefault="006E2B9F" w:rsidP="0017629F">
            <w:pPr>
              <w:spacing w:line="276" w:lineRule="auto"/>
              <w:ind w:right="440" w:firstLine="550"/>
              <w:jc w:val="right"/>
              <w:rPr>
                <w:sz w:val="22"/>
              </w:rPr>
            </w:pPr>
            <w:r>
              <w:rPr>
                <w:rFonts w:hint="eastAsia"/>
                <w:sz w:val="22"/>
              </w:rPr>
              <w:t>2.6</w:t>
            </w:r>
          </w:p>
        </w:tc>
      </w:tr>
      <w:tr w:rsidR="00172968" w:rsidRPr="00172968" w:rsidTr="00172968">
        <w:tc>
          <w:tcPr>
            <w:tcW w:w="2553" w:type="dxa"/>
          </w:tcPr>
          <w:p w:rsidR="00172968" w:rsidRPr="00172968" w:rsidRDefault="00172968" w:rsidP="0017629F">
            <w:pPr>
              <w:spacing w:line="276" w:lineRule="auto"/>
              <w:rPr>
                <w:sz w:val="22"/>
              </w:rPr>
            </w:pPr>
            <w:r w:rsidRPr="00172968">
              <w:rPr>
                <w:rFonts w:hint="eastAsia"/>
                <w:sz w:val="22"/>
              </w:rPr>
              <w:t>Ⅸ　研究</w:t>
            </w:r>
          </w:p>
        </w:tc>
        <w:tc>
          <w:tcPr>
            <w:tcW w:w="5641" w:type="dxa"/>
          </w:tcPr>
          <w:p w:rsidR="00172968" w:rsidRPr="00172968" w:rsidRDefault="00172968" w:rsidP="0017629F">
            <w:pPr>
              <w:spacing w:line="276" w:lineRule="auto"/>
              <w:rPr>
                <w:sz w:val="22"/>
              </w:rPr>
            </w:pPr>
            <w:r w:rsidRPr="00172968">
              <w:rPr>
                <w:rFonts w:hint="eastAsia"/>
                <w:sz w:val="22"/>
              </w:rPr>
              <w:t>教員の研究活動の実施状況。研究活動の支援体制が整っているか。</w:t>
            </w:r>
          </w:p>
        </w:tc>
        <w:tc>
          <w:tcPr>
            <w:tcW w:w="939" w:type="dxa"/>
          </w:tcPr>
          <w:p w:rsidR="00172968" w:rsidRPr="00172968" w:rsidRDefault="00172968" w:rsidP="0017629F">
            <w:pPr>
              <w:spacing w:line="276" w:lineRule="auto"/>
              <w:rPr>
                <w:sz w:val="22"/>
              </w:rPr>
            </w:pPr>
            <w:r w:rsidRPr="00172968">
              <w:rPr>
                <w:rFonts w:hint="eastAsia"/>
                <w:sz w:val="22"/>
              </w:rPr>
              <w:t xml:space="preserve">　</w:t>
            </w:r>
            <w:r w:rsidRPr="00172968">
              <w:rPr>
                <w:rFonts w:hint="eastAsia"/>
                <w:sz w:val="22"/>
              </w:rPr>
              <w:t>3</w:t>
            </w:r>
          </w:p>
        </w:tc>
        <w:tc>
          <w:tcPr>
            <w:tcW w:w="1499" w:type="dxa"/>
          </w:tcPr>
          <w:p w:rsidR="00172968" w:rsidRPr="00172968" w:rsidRDefault="000008E6" w:rsidP="0017629F">
            <w:pPr>
              <w:spacing w:line="276" w:lineRule="auto"/>
              <w:ind w:right="440"/>
              <w:jc w:val="right"/>
              <w:rPr>
                <w:sz w:val="22"/>
              </w:rPr>
            </w:pPr>
            <w:r>
              <w:rPr>
                <w:rFonts w:hint="eastAsia"/>
                <w:sz w:val="22"/>
              </w:rPr>
              <w:t>2.3</w:t>
            </w:r>
          </w:p>
        </w:tc>
      </w:tr>
      <w:tr w:rsidR="00172968" w:rsidRPr="00172968" w:rsidTr="00172968">
        <w:tc>
          <w:tcPr>
            <w:tcW w:w="9133" w:type="dxa"/>
            <w:gridSpan w:val="3"/>
          </w:tcPr>
          <w:p w:rsidR="00172968" w:rsidRPr="00172968" w:rsidRDefault="00172968" w:rsidP="0017629F">
            <w:pPr>
              <w:spacing w:line="276" w:lineRule="auto"/>
              <w:rPr>
                <w:sz w:val="22"/>
              </w:rPr>
            </w:pPr>
            <w:r w:rsidRPr="00172968">
              <w:rPr>
                <w:rFonts w:hint="eastAsia"/>
                <w:sz w:val="22"/>
              </w:rPr>
              <w:t>平均</w:t>
            </w:r>
          </w:p>
        </w:tc>
        <w:tc>
          <w:tcPr>
            <w:tcW w:w="1499" w:type="dxa"/>
          </w:tcPr>
          <w:p w:rsidR="00172968" w:rsidRPr="00172968" w:rsidRDefault="00172968" w:rsidP="0017629F">
            <w:pPr>
              <w:spacing w:line="276" w:lineRule="auto"/>
              <w:ind w:right="440"/>
              <w:jc w:val="right"/>
              <w:rPr>
                <w:sz w:val="22"/>
              </w:rPr>
            </w:pPr>
            <w:r w:rsidRPr="00172968">
              <w:rPr>
                <w:rFonts w:hint="eastAsia"/>
                <w:sz w:val="22"/>
              </w:rPr>
              <w:t>2.8</w:t>
            </w:r>
          </w:p>
        </w:tc>
      </w:tr>
    </w:tbl>
    <w:p w:rsidR="00924E3B" w:rsidRPr="0017629F" w:rsidRDefault="00172968" w:rsidP="00172968">
      <w:pPr>
        <w:ind w:firstLineChars="100" w:firstLine="220"/>
        <w:rPr>
          <w:sz w:val="22"/>
        </w:rPr>
      </w:pPr>
      <w:r w:rsidRPr="0017629F">
        <w:rPr>
          <w:rFonts w:hint="eastAsia"/>
          <w:sz w:val="22"/>
        </w:rPr>
        <w:t>結果は下記のとおりです。</w:t>
      </w:r>
    </w:p>
    <w:p w:rsidR="00172968" w:rsidRPr="00172968" w:rsidRDefault="00172968" w:rsidP="00F63885">
      <w:pPr>
        <w:ind w:firstLineChars="100" w:firstLine="240"/>
        <w:rPr>
          <w:sz w:val="24"/>
          <w:szCs w:val="24"/>
        </w:rPr>
      </w:pPr>
    </w:p>
    <w:p w:rsidR="00624005" w:rsidRPr="00CC77CB" w:rsidRDefault="00624005" w:rsidP="00624005">
      <w:pPr>
        <w:pStyle w:val="a5"/>
        <w:ind w:leftChars="0" w:left="630"/>
        <w:jc w:val="right"/>
      </w:pPr>
      <w:r w:rsidRPr="00461F7B">
        <w:rPr>
          <w:rFonts w:hint="eastAsia"/>
          <w:sz w:val="18"/>
          <w:szCs w:val="18"/>
        </w:rPr>
        <w:t>2003</w:t>
      </w:r>
      <w:r w:rsidRPr="00461F7B">
        <w:rPr>
          <w:rFonts w:hint="eastAsia"/>
          <w:sz w:val="18"/>
          <w:szCs w:val="18"/>
        </w:rPr>
        <w:t>年「厚生労働省の看護師等養成所の教育活動等に関する自己評価指針検討会」報告書</w:t>
      </w:r>
    </w:p>
    <w:p w:rsidR="00624005" w:rsidRDefault="00624005" w:rsidP="00624005">
      <w:pPr>
        <w:pStyle w:val="a5"/>
        <w:ind w:leftChars="0" w:left="990" w:firstLineChars="800" w:firstLine="1440"/>
        <w:jc w:val="right"/>
      </w:pPr>
      <w:r w:rsidRPr="00AB06B4">
        <w:rPr>
          <w:rFonts w:hint="eastAsia"/>
          <w:sz w:val="18"/>
          <w:szCs w:val="18"/>
        </w:rPr>
        <w:t>「看護師等養成所の教育活動等に関する自己評価指針」</w:t>
      </w:r>
      <w:r w:rsidRPr="00AB06B4">
        <w:rPr>
          <w:rFonts w:hint="eastAsia"/>
          <w:sz w:val="18"/>
          <w:szCs w:val="18"/>
        </w:rPr>
        <w:t>C</w:t>
      </w:r>
      <w:r w:rsidRPr="00AB06B4">
        <w:rPr>
          <w:rFonts w:hint="eastAsia"/>
          <w:sz w:val="18"/>
          <w:szCs w:val="18"/>
        </w:rPr>
        <w:t>＜点検＞（評価内容）一覧</w:t>
      </w:r>
    </w:p>
    <w:p w:rsidR="00FE001C" w:rsidRPr="00624005" w:rsidRDefault="00FE001C" w:rsidP="00F63885"/>
    <w:p w:rsidR="003A2110" w:rsidRDefault="003A2110" w:rsidP="003A2110"/>
    <w:p w:rsidR="003A2110" w:rsidRDefault="003A2110" w:rsidP="003A2110">
      <w:pPr>
        <w:ind w:firstLineChars="100" w:firstLine="210"/>
      </w:pPr>
    </w:p>
    <w:p w:rsidR="003A2110" w:rsidRDefault="003A2110" w:rsidP="003A2110">
      <w:pPr>
        <w:ind w:firstLineChars="100" w:firstLine="210"/>
      </w:pPr>
    </w:p>
    <w:p w:rsidR="000008E6" w:rsidRDefault="000008E6" w:rsidP="003A2110">
      <w:pPr>
        <w:ind w:firstLineChars="100" w:firstLine="210"/>
      </w:pPr>
    </w:p>
    <w:p w:rsidR="000008E6" w:rsidRDefault="000008E6" w:rsidP="003A2110">
      <w:pPr>
        <w:ind w:firstLineChars="100" w:firstLine="210"/>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0</wp:posOffset>
            </wp:positionV>
            <wp:extent cx="6614160" cy="2735580"/>
            <wp:effectExtent l="0" t="0" r="15240" b="7620"/>
            <wp:wrapSquare wrapText="bothSides"/>
            <wp:docPr id="1" name="グラフ 1">
              <a:extLst xmlns:a="http://schemas.openxmlformats.org/drawingml/2006/main">
                <a:ext uri="{FF2B5EF4-FFF2-40B4-BE49-F238E27FC236}">
                  <a16:creationId xmlns:a16="http://schemas.microsoft.com/office/drawing/2014/main" id="{D86351B0-9C04-48A3-89C3-2DF9833FC8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3A2110" w:rsidRDefault="003A2110" w:rsidP="00462F33">
      <w:pPr>
        <w:ind w:firstLineChars="200" w:firstLine="420"/>
      </w:pPr>
      <w:r>
        <w:rPr>
          <w:rFonts w:hint="eastAsia"/>
        </w:rPr>
        <w:t>総合評価は平均</w:t>
      </w:r>
      <w:r>
        <w:rPr>
          <w:rFonts w:hint="eastAsia"/>
        </w:rPr>
        <w:t>2.8</w:t>
      </w:r>
      <w:r w:rsidR="0066641C">
        <w:rPr>
          <w:rFonts w:hint="eastAsia"/>
        </w:rPr>
        <w:t>点であり、</w:t>
      </w:r>
      <w:r>
        <w:rPr>
          <w:rFonts w:hint="eastAsia"/>
        </w:rPr>
        <w:t>全体的にバランスが取れた評価結果となりました。</w:t>
      </w:r>
    </w:p>
    <w:p w:rsidR="00E13785" w:rsidRDefault="00E13785" w:rsidP="0066641C">
      <w:pPr>
        <w:ind w:leftChars="100" w:left="210"/>
      </w:pPr>
      <w:r>
        <w:rPr>
          <w:rFonts w:hint="eastAsia"/>
        </w:rPr>
        <w:t xml:space="preserve">　岩手県立一関高等看護学院は、社会の変化に対応し、医療・看護</w:t>
      </w:r>
      <w:r w:rsidR="0066641C">
        <w:rPr>
          <w:rFonts w:hint="eastAsia"/>
        </w:rPr>
        <w:t>に対する人々のニーズを満たし、質の高い看護を提供する責任があり、</w:t>
      </w:r>
      <w:r w:rsidR="00484849">
        <w:rPr>
          <w:rFonts w:hint="eastAsia"/>
        </w:rPr>
        <w:t>教育理念に「県民の医療不安を解消する」という責務を掲げています</w:t>
      </w:r>
      <w:r>
        <w:rPr>
          <w:rFonts w:hint="eastAsia"/>
        </w:rPr>
        <w:t>。</w:t>
      </w:r>
    </w:p>
    <w:p w:rsidR="00E13785" w:rsidRDefault="0066641C" w:rsidP="00462F33">
      <w:pPr>
        <w:ind w:leftChars="100" w:left="210" w:firstLineChars="100" w:firstLine="210"/>
      </w:pPr>
      <w:r>
        <w:rPr>
          <w:rFonts w:hint="eastAsia"/>
        </w:rPr>
        <w:t>令和</w:t>
      </w:r>
      <w:r>
        <w:rPr>
          <w:rFonts w:hint="eastAsia"/>
        </w:rPr>
        <w:t>6</w:t>
      </w:r>
      <w:r w:rsidR="00FD59EF">
        <w:rPr>
          <w:rFonts w:hint="eastAsia"/>
        </w:rPr>
        <w:t>年度卒業生の進路</w:t>
      </w:r>
      <w:r w:rsidR="00C12591">
        <w:rPr>
          <w:rFonts w:hint="eastAsia"/>
        </w:rPr>
        <w:t>状況は、岩手県内就職が</w:t>
      </w:r>
      <w:r w:rsidR="00C12591">
        <w:rPr>
          <w:rFonts w:hint="eastAsia"/>
        </w:rPr>
        <w:t>7</w:t>
      </w:r>
      <w:r w:rsidR="00484849">
        <w:rPr>
          <w:rFonts w:hint="eastAsia"/>
        </w:rPr>
        <w:t>割、４年制大学に</w:t>
      </w:r>
      <w:r>
        <w:rPr>
          <w:rFonts w:hint="eastAsia"/>
        </w:rPr>
        <w:t>2</w:t>
      </w:r>
      <w:r>
        <w:rPr>
          <w:rFonts w:hint="eastAsia"/>
        </w:rPr>
        <w:t>名編入学、保健師学校</w:t>
      </w:r>
      <w:r w:rsidR="00462F33">
        <w:rPr>
          <w:rFonts w:hint="eastAsia"/>
        </w:rPr>
        <w:t>に</w:t>
      </w:r>
      <w:r>
        <w:rPr>
          <w:rFonts w:hint="eastAsia"/>
        </w:rPr>
        <w:t>1</w:t>
      </w:r>
      <w:r>
        <w:rPr>
          <w:rFonts w:hint="eastAsia"/>
        </w:rPr>
        <w:t>名進学が決まっております。</w:t>
      </w:r>
    </w:p>
    <w:p w:rsidR="00DD5BD6" w:rsidRDefault="00484849" w:rsidP="00C83F90">
      <w:pPr>
        <w:ind w:firstLineChars="200" w:firstLine="420"/>
      </w:pPr>
      <w:r>
        <w:rPr>
          <w:rFonts w:hint="eastAsia"/>
        </w:rPr>
        <w:t>看護師国家試験の合格状況は、平成</w:t>
      </w:r>
      <w:r>
        <w:rPr>
          <w:rFonts w:hint="eastAsia"/>
        </w:rPr>
        <w:t>14</w:t>
      </w:r>
      <w:r w:rsidR="00A41709">
        <w:rPr>
          <w:rFonts w:hint="eastAsia"/>
        </w:rPr>
        <w:t>年度から</w:t>
      </w:r>
      <w:r w:rsidR="0066641C">
        <w:rPr>
          <w:rFonts w:hint="eastAsia"/>
        </w:rPr>
        <w:t>令和</w:t>
      </w:r>
      <w:r w:rsidR="0066641C">
        <w:rPr>
          <w:rFonts w:hint="eastAsia"/>
        </w:rPr>
        <w:t>5</w:t>
      </w:r>
      <w:r w:rsidR="0066641C">
        <w:rPr>
          <w:rFonts w:hint="eastAsia"/>
        </w:rPr>
        <w:t>年度まで</w:t>
      </w:r>
      <w:r>
        <w:rPr>
          <w:rFonts w:hint="eastAsia"/>
        </w:rPr>
        <w:t>連続</w:t>
      </w:r>
      <w:r w:rsidR="00A41709">
        <w:rPr>
          <w:rFonts w:hint="eastAsia"/>
        </w:rPr>
        <w:t>100</w:t>
      </w:r>
      <w:r>
        <w:rPr>
          <w:rFonts w:hint="eastAsia"/>
        </w:rPr>
        <w:t>％</w:t>
      </w:r>
      <w:r w:rsidR="00462F33">
        <w:rPr>
          <w:rFonts w:hint="eastAsia"/>
        </w:rPr>
        <w:t>合格</w:t>
      </w:r>
      <w:r>
        <w:rPr>
          <w:rFonts w:hint="eastAsia"/>
        </w:rPr>
        <w:t>で推移しています</w:t>
      </w:r>
      <w:r w:rsidR="00A41709">
        <w:rPr>
          <w:rFonts w:hint="eastAsia"/>
        </w:rPr>
        <w:t>。</w:t>
      </w:r>
    </w:p>
    <w:p w:rsidR="00486B74" w:rsidRDefault="00486B74" w:rsidP="00486B74">
      <w:pPr>
        <w:ind w:leftChars="100" w:left="210" w:firstLineChars="100" w:firstLine="210"/>
      </w:pPr>
      <w:r>
        <w:rPr>
          <w:rFonts w:hint="eastAsia"/>
        </w:rPr>
        <w:t>令和</w:t>
      </w:r>
      <w:r>
        <w:rPr>
          <w:rFonts w:hint="eastAsia"/>
        </w:rPr>
        <w:t>4</w:t>
      </w:r>
      <w:r>
        <w:rPr>
          <w:rFonts w:hint="eastAsia"/>
        </w:rPr>
        <w:t>年度から新カリキュラムが運用され</w:t>
      </w:r>
      <w:r>
        <w:rPr>
          <w:rFonts w:hint="eastAsia"/>
        </w:rPr>
        <w:t>3</w:t>
      </w:r>
      <w:r>
        <w:rPr>
          <w:rFonts w:hint="eastAsia"/>
        </w:rPr>
        <w:t>年間経過しました。更なる教育内容の充実に向け、評価しながら引き続き検討に取り組みます。</w:t>
      </w:r>
    </w:p>
    <w:p w:rsidR="00486B74" w:rsidRDefault="00486B74" w:rsidP="00486B74">
      <w:pPr>
        <w:ind w:leftChars="100" w:left="210" w:firstLineChars="100" w:firstLine="210"/>
      </w:pPr>
      <w:r>
        <w:rPr>
          <w:rFonts w:hint="eastAsia"/>
        </w:rPr>
        <w:t>1</w:t>
      </w:r>
      <w:r>
        <w:rPr>
          <w:rFonts w:hint="eastAsia"/>
        </w:rPr>
        <w:t>人</w:t>
      </w:r>
      <w:r>
        <w:rPr>
          <w:rFonts w:hint="eastAsia"/>
        </w:rPr>
        <w:t>1</w:t>
      </w:r>
      <w:r>
        <w:rPr>
          <w:rFonts w:hint="eastAsia"/>
        </w:rPr>
        <w:t>人の学生を大切にしながら、きめ細やかな学習指導や進路指導等支援を</w:t>
      </w:r>
      <w:r w:rsidR="00C83F90">
        <w:rPr>
          <w:rFonts w:hint="eastAsia"/>
        </w:rPr>
        <w:t>継続して取り組みます。</w:t>
      </w:r>
    </w:p>
    <w:p w:rsidR="004E3EC0" w:rsidRDefault="004E3EC0" w:rsidP="00DD5BD6">
      <w:pPr>
        <w:ind w:firstLineChars="100" w:firstLine="210"/>
      </w:pPr>
    </w:p>
    <w:p w:rsidR="001C112D" w:rsidRDefault="001C112D" w:rsidP="00DD5BD6">
      <w:pPr>
        <w:ind w:firstLineChars="100" w:firstLine="210"/>
      </w:pPr>
    </w:p>
    <w:p w:rsidR="003A2110" w:rsidRDefault="00E13785" w:rsidP="003A2110">
      <w:pPr>
        <w:ind w:firstLineChars="100" w:firstLine="210"/>
      </w:pPr>
      <w:r>
        <w:rPr>
          <w:rFonts w:hint="eastAsia"/>
        </w:rPr>
        <w:t>（課題</w:t>
      </w:r>
      <w:r w:rsidR="003A2110">
        <w:rPr>
          <w:rFonts w:hint="eastAsia"/>
        </w:rPr>
        <w:t>）</w:t>
      </w:r>
    </w:p>
    <w:p w:rsidR="00C12591" w:rsidRDefault="0066641C" w:rsidP="00C12591">
      <w:pPr>
        <w:ind w:leftChars="100" w:left="210"/>
      </w:pPr>
      <w:r>
        <w:rPr>
          <w:rFonts w:hint="eastAsia"/>
        </w:rPr>
        <w:t>Ⅷ　地域社会</w:t>
      </w:r>
      <w:r>
        <w:rPr>
          <w:rFonts w:hint="eastAsia"/>
        </w:rPr>
        <w:t>/</w:t>
      </w:r>
      <w:r w:rsidR="00462F33">
        <w:rPr>
          <w:rFonts w:hint="eastAsia"/>
        </w:rPr>
        <w:t>国際交流</w:t>
      </w:r>
    </w:p>
    <w:p w:rsidR="00AC7087" w:rsidRDefault="00A82378" w:rsidP="00462F33">
      <w:pPr>
        <w:ind w:leftChars="100" w:left="210" w:firstLineChars="100" w:firstLine="210"/>
      </w:pPr>
      <w:r>
        <w:rPr>
          <w:rFonts w:hint="eastAsia"/>
        </w:rPr>
        <w:t>地域のボランティア活動は、新型コロナウイルス</w:t>
      </w:r>
      <w:r w:rsidR="00396F9B">
        <w:rPr>
          <w:rFonts w:hint="eastAsia"/>
        </w:rPr>
        <w:t>感染症</w:t>
      </w:r>
      <w:r w:rsidR="00462F33">
        <w:rPr>
          <w:rFonts w:hint="eastAsia"/>
        </w:rPr>
        <w:t>などの</w:t>
      </w:r>
      <w:r>
        <w:rPr>
          <w:rFonts w:hint="eastAsia"/>
        </w:rPr>
        <w:t>感染リスクを考慮しながら参加できるボランティア活動には参加した。「国際交流」は機会があれば積極的に参加できるよう支援していく。</w:t>
      </w:r>
    </w:p>
    <w:p w:rsidR="00462F33" w:rsidRDefault="006526C3" w:rsidP="00B47788">
      <w:pPr>
        <w:ind w:leftChars="100" w:left="210"/>
      </w:pPr>
      <w:r>
        <w:rPr>
          <w:rFonts w:hint="eastAsia"/>
        </w:rPr>
        <w:t>Ⅸ</w:t>
      </w:r>
      <w:r w:rsidR="00462F33">
        <w:rPr>
          <w:rFonts w:hint="eastAsia"/>
        </w:rPr>
        <w:t xml:space="preserve">　</w:t>
      </w:r>
      <w:r>
        <w:rPr>
          <w:rFonts w:hint="eastAsia"/>
        </w:rPr>
        <w:t>研究</w:t>
      </w:r>
      <w:r w:rsidR="00396F9B">
        <w:rPr>
          <w:rFonts w:hint="eastAsia"/>
        </w:rPr>
        <w:t xml:space="preserve">　</w:t>
      </w:r>
    </w:p>
    <w:p w:rsidR="006526C3" w:rsidRPr="006526C3" w:rsidRDefault="00B47788" w:rsidP="00462F33">
      <w:pPr>
        <w:ind w:leftChars="100" w:left="210" w:firstLineChars="100" w:firstLine="210"/>
      </w:pPr>
      <w:r>
        <w:rPr>
          <w:rFonts w:hint="eastAsia"/>
        </w:rPr>
        <w:t>教員の</w:t>
      </w:r>
      <w:r w:rsidR="00396F9B">
        <w:rPr>
          <w:rFonts w:hint="eastAsia"/>
        </w:rPr>
        <w:t>研究活動を</w:t>
      </w:r>
      <w:r w:rsidR="00C83F90">
        <w:rPr>
          <w:rFonts w:hint="eastAsia"/>
        </w:rPr>
        <w:t>支援する体制と時間を</w:t>
      </w:r>
      <w:r w:rsidR="00462F33">
        <w:rPr>
          <w:rFonts w:hint="eastAsia"/>
        </w:rPr>
        <w:t>確保</w:t>
      </w:r>
      <w:r w:rsidR="00C83F90">
        <w:rPr>
          <w:rFonts w:hint="eastAsia"/>
        </w:rPr>
        <w:t>する</w:t>
      </w:r>
      <w:r w:rsidR="00462F33">
        <w:rPr>
          <w:rFonts w:hint="eastAsia"/>
        </w:rPr>
        <w:t>。</w:t>
      </w:r>
    </w:p>
    <w:p w:rsidR="00AC7087" w:rsidRDefault="00AC7087" w:rsidP="00AC7087">
      <w:pPr>
        <w:ind w:firstLineChars="100" w:firstLine="210"/>
      </w:pPr>
    </w:p>
    <w:p w:rsidR="00AC7087" w:rsidRDefault="00AC7087" w:rsidP="00AC7087">
      <w:pPr>
        <w:ind w:firstLineChars="100" w:firstLine="210"/>
      </w:pPr>
    </w:p>
    <w:p w:rsidR="00FE001C" w:rsidRPr="00AC7087" w:rsidRDefault="00FE001C" w:rsidP="00A41709">
      <w:pPr>
        <w:pStyle w:val="a5"/>
        <w:ind w:leftChars="0" w:left="630"/>
      </w:pPr>
      <w:bookmarkStart w:id="0" w:name="_GoBack"/>
      <w:bookmarkEnd w:id="0"/>
    </w:p>
    <w:sectPr w:rsidR="00FE001C" w:rsidRPr="00AC7087" w:rsidSect="00F63885">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1C" w:rsidRDefault="00FE001C" w:rsidP="00FE001C">
      <w:r>
        <w:separator/>
      </w:r>
    </w:p>
  </w:endnote>
  <w:endnote w:type="continuationSeparator" w:id="0">
    <w:p w:rsidR="00FE001C" w:rsidRDefault="00FE001C" w:rsidP="00FE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1C" w:rsidRDefault="00FE001C" w:rsidP="00FE001C">
      <w:r>
        <w:separator/>
      </w:r>
    </w:p>
  </w:footnote>
  <w:footnote w:type="continuationSeparator" w:id="0">
    <w:p w:rsidR="00FE001C" w:rsidRDefault="00FE001C" w:rsidP="00FE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A3" w:rsidRDefault="00F419A3" w:rsidP="00F419A3">
    <w:pPr>
      <w:pStyle w:val="a7"/>
      <w:ind w:firstLineChars="4500" w:firstLine="9450"/>
    </w:pPr>
    <w:r>
      <w:rPr>
        <w:rFonts w:hint="eastAsia"/>
      </w:rPr>
      <w:t>資料№</w:t>
    </w:r>
    <w:r>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66B"/>
    <w:multiLevelType w:val="hybridMultilevel"/>
    <w:tmpl w:val="286E77EA"/>
    <w:lvl w:ilvl="0" w:tplc="4DF066CC">
      <w:start w:val="1"/>
      <w:numFmt w:val="decimalEnclosedCircle"/>
      <w:lvlText w:val="%1"/>
      <w:lvlJc w:val="left"/>
      <w:pPr>
        <w:ind w:left="360" w:hanging="360"/>
      </w:pPr>
      <w:rPr>
        <w:rFonts w:hint="default"/>
      </w:rPr>
    </w:lvl>
    <w:lvl w:ilvl="1" w:tplc="C914A88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47983"/>
    <w:multiLevelType w:val="hybridMultilevel"/>
    <w:tmpl w:val="F3EA019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81A7843"/>
    <w:multiLevelType w:val="hybridMultilevel"/>
    <w:tmpl w:val="FCF26CB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79"/>
    <w:rsid w:val="000008E6"/>
    <w:rsid w:val="0004639F"/>
    <w:rsid w:val="00060E28"/>
    <w:rsid w:val="00081DF2"/>
    <w:rsid w:val="0008709D"/>
    <w:rsid w:val="000A3FF9"/>
    <w:rsid w:val="0014753E"/>
    <w:rsid w:val="00162098"/>
    <w:rsid w:val="00172968"/>
    <w:rsid w:val="0017629F"/>
    <w:rsid w:val="001819B1"/>
    <w:rsid w:val="001A79A7"/>
    <w:rsid w:val="001C112D"/>
    <w:rsid w:val="002164C5"/>
    <w:rsid w:val="002422D4"/>
    <w:rsid w:val="002B6679"/>
    <w:rsid w:val="002F003B"/>
    <w:rsid w:val="0030722F"/>
    <w:rsid w:val="00325994"/>
    <w:rsid w:val="00343919"/>
    <w:rsid w:val="003463FA"/>
    <w:rsid w:val="00396F9B"/>
    <w:rsid w:val="003A2110"/>
    <w:rsid w:val="004038AB"/>
    <w:rsid w:val="00422725"/>
    <w:rsid w:val="00431FBC"/>
    <w:rsid w:val="00446227"/>
    <w:rsid w:val="004462A1"/>
    <w:rsid w:val="00461F7B"/>
    <w:rsid w:val="00462F33"/>
    <w:rsid w:val="0048151A"/>
    <w:rsid w:val="00484849"/>
    <w:rsid w:val="00486B74"/>
    <w:rsid w:val="00490483"/>
    <w:rsid w:val="004E3EC0"/>
    <w:rsid w:val="005442CA"/>
    <w:rsid w:val="0054635A"/>
    <w:rsid w:val="005A467D"/>
    <w:rsid w:val="005D1C4F"/>
    <w:rsid w:val="005D5A89"/>
    <w:rsid w:val="005E513B"/>
    <w:rsid w:val="00606A49"/>
    <w:rsid w:val="00624005"/>
    <w:rsid w:val="00640C2A"/>
    <w:rsid w:val="00647C9D"/>
    <w:rsid w:val="006526C3"/>
    <w:rsid w:val="0066641C"/>
    <w:rsid w:val="006B1679"/>
    <w:rsid w:val="006D06C6"/>
    <w:rsid w:val="006E2B9F"/>
    <w:rsid w:val="007075C4"/>
    <w:rsid w:val="007A7DF2"/>
    <w:rsid w:val="00855270"/>
    <w:rsid w:val="008647C1"/>
    <w:rsid w:val="008D3960"/>
    <w:rsid w:val="008F42E7"/>
    <w:rsid w:val="00901258"/>
    <w:rsid w:val="00924E3B"/>
    <w:rsid w:val="00962E0D"/>
    <w:rsid w:val="009754D5"/>
    <w:rsid w:val="00993C5B"/>
    <w:rsid w:val="00995245"/>
    <w:rsid w:val="009D7CEC"/>
    <w:rsid w:val="00A41709"/>
    <w:rsid w:val="00A43876"/>
    <w:rsid w:val="00A65743"/>
    <w:rsid w:val="00A82378"/>
    <w:rsid w:val="00AB06B4"/>
    <w:rsid w:val="00AC5764"/>
    <w:rsid w:val="00AC6BE0"/>
    <w:rsid w:val="00AC7087"/>
    <w:rsid w:val="00AE6196"/>
    <w:rsid w:val="00B045F1"/>
    <w:rsid w:val="00B47788"/>
    <w:rsid w:val="00B56D68"/>
    <w:rsid w:val="00B85E5F"/>
    <w:rsid w:val="00BB6D05"/>
    <w:rsid w:val="00C12591"/>
    <w:rsid w:val="00C60CF7"/>
    <w:rsid w:val="00C742D7"/>
    <w:rsid w:val="00C83F90"/>
    <w:rsid w:val="00C93460"/>
    <w:rsid w:val="00CB2596"/>
    <w:rsid w:val="00CB3FDD"/>
    <w:rsid w:val="00CC77CB"/>
    <w:rsid w:val="00CE3998"/>
    <w:rsid w:val="00CF3371"/>
    <w:rsid w:val="00D03C4A"/>
    <w:rsid w:val="00D34A64"/>
    <w:rsid w:val="00D37020"/>
    <w:rsid w:val="00D62309"/>
    <w:rsid w:val="00D70839"/>
    <w:rsid w:val="00D770D2"/>
    <w:rsid w:val="00D86590"/>
    <w:rsid w:val="00DD2A17"/>
    <w:rsid w:val="00DD2E1C"/>
    <w:rsid w:val="00DD5BD6"/>
    <w:rsid w:val="00E13785"/>
    <w:rsid w:val="00E40BBA"/>
    <w:rsid w:val="00EB598B"/>
    <w:rsid w:val="00EF11C3"/>
    <w:rsid w:val="00F05038"/>
    <w:rsid w:val="00F419A3"/>
    <w:rsid w:val="00F63885"/>
    <w:rsid w:val="00F65037"/>
    <w:rsid w:val="00FA347D"/>
    <w:rsid w:val="00FB277B"/>
    <w:rsid w:val="00FD09A7"/>
    <w:rsid w:val="00FD59EF"/>
    <w:rsid w:val="00FE001C"/>
    <w:rsid w:val="00FF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CD5029F"/>
  <w15:docId w15:val="{36E6407E-6C61-4337-B954-0A9A2167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F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1FBC"/>
    <w:rPr>
      <w:rFonts w:asciiTheme="majorHAnsi" w:eastAsiaTheme="majorEastAsia" w:hAnsiTheme="majorHAnsi" w:cstheme="majorBidi"/>
      <w:sz w:val="18"/>
      <w:szCs w:val="18"/>
    </w:rPr>
  </w:style>
  <w:style w:type="paragraph" w:styleId="a5">
    <w:name w:val="List Paragraph"/>
    <w:basedOn w:val="a"/>
    <w:uiPriority w:val="34"/>
    <w:qFormat/>
    <w:rsid w:val="00D86590"/>
    <w:pPr>
      <w:ind w:leftChars="400" w:left="840"/>
    </w:pPr>
  </w:style>
  <w:style w:type="table" w:styleId="a6">
    <w:name w:val="Table Grid"/>
    <w:basedOn w:val="a1"/>
    <w:uiPriority w:val="59"/>
    <w:rsid w:val="0064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E001C"/>
    <w:pPr>
      <w:tabs>
        <w:tab w:val="center" w:pos="4252"/>
        <w:tab w:val="right" w:pos="8504"/>
      </w:tabs>
      <w:snapToGrid w:val="0"/>
    </w:pPr>
  </w:style>
  <w:style w:type="character" w:customStyle="1" w:styleId="a8">
    <w:name w:val="ヘッダー (文字)"/>
    <w:basedOn w:val="a0"/>
    <w:link w:val="a7"/>
    <w:uiPriority w:val="99"/>
    <w:rsid w:val="00FE001C"/>
  </w:style>
  <w:style w:type="paragraph" w:styleId="a9">
    <w:name w:val="footer"/>
    <w:basedOn w:val="a"/>
    <w:link w:val="aa"/>
    <w:uiPriority w:val="99"/>
    <w:unhideWhenUsed/>
    <w:rsid w:val="00FE001C"/>
    <w:pPr>
      <w:tabs>
        <w:tab w:val="center" w:pos="4252"/>
        <w:tab w:val="right" w:pos="8504"/>
      </w:tabs>
      <w:snapToGrid w:val="0"/>
    </w:pPr>
  </w:style>
  <w:style w:type="character" w:customStyle="1" w:styleId="aa">
    <w:name w:val="フッター (文字)"/>
    <w:basedOn w:val="a0"/>
    <w:link w:val="a9"/>
    <w:uiPriority w:val="99"/>
    <w:rsid w:val="00FE001C"/>
  </w:style>
  <w:style w:type="paragraph" w:styleId="ab">
    <w:name w:val="Title"/>
    <w:basedOn w:val="a"/>
    <w:next w:val="a"/>
    <w:link w:val="ac"/>
    <w:uiPriority w:val="10"/>
    <w:qFormat/>
    <w:rsid w:val="00962E0D"/>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962E0D"/>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195079">
      <w:bodyDiv w:val="1"/>
      <w:marLeft w:val="0"/>
      <w:marRight w:val="0"/>
      <w:marTop w:val="0"/>
      <w:marBottom w:val="0"/>
      <w:divBdr>
        <w:top w:val="none" w:sz="0" w:space="0" w:color="auto"/>
        <w:left w:val="none" w:sz="0" w:space="0" w:color="auto"/>
        <w:bottom w:val="none" w:sz="0" w:space="0" w:color="auto"/>
        <w:right w:val="none" w:sz="0" w:space="0" w:color="auto"/>
      </w:divBdr>
    </w:div>
    <w:div w:id="19512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'R6年度'!$G$2</c:f>
              <c:strCache>
                <c:ptCount val="1"/>
                <c:pt idx="0">
                  <c:v>令和６年</c:v>
                </c:pt>
              </c:strCache>
            </c:strRef>
          </c:tx>
          <c:spPr>
            <a:ln w="28575" cap="rnd">
              <a:solidFill>
                <a:schemeClr val="accent1"/>
              </a:solidFill>
              <a:round/>
            </a:ln>
            <a:effectLst/>
          </c:spPr>
          <c:marker>
            <c:symbol val="none"/>
          </c:marker>
          <c:cat>
            <c:strRef>
              <c:f>'R6年度'!$B$3:$B$11</c:f>
              <c:strCache>
                <c:ptCount val="9"/>
                <c:pt idx="0">
                  <c:v>Ⅰ　教育理念・教育目的　　</c:v>
                </c:pt>
                <c:pt idx="1">
                  <c:v>Ⅱ　教育目標　</c:v>
                </c:pt>
                <c:pt idx="2">
                  <c:v>Ⅲ　教育課程経営　</c:v>
                </c:pt>
                <c:pt idx="3">
                  <c:v>Ⅳ　教授･学習･評価過程　</c:v>
                </c:pt>
                <c:pt idx="4">
                  <c:v>Ⅴ　経営･管理過程　</c:v>
                </c:pt>
                <c:pt idx="5">
                  <c:v>Ⅵ　入学　</c:v>
                </c:pt>
                <c:pt idx="6">
                  <c:v>Ⅶ　卒業･就職･進学　　</c:v>
                </c:pt>
                <c:pt idx="7">
                  <c:v>Ⅷ　地域社会/国際交流　　</c:v>
                </c:pt>
                <c:pt idx="8">
                  <c:v>Ⅸ　研究　</c:v>
                </c:pt>
              </c:strCache>
            </c:strRef>
          </c:cat>
          <c:val>
            <c:numRef>
              <c:f>'R6年度'!$G$3:$G$11</c:f>
              <c:numCache>
                <c:formatCode>0.0_);[Red]\(0.0\)</c:formatCode>
                <c:ptCount val="9"/>
                <c:pt idx="0">
                  <c:v>2.8</c:v>
                </c:pt>
                <c:pt idx="1">
                  <c:v>3</c:v>
                </c:pt>
                <c:pt idx="2">
                  <c:v>2.8</c:v>
                </c:pt>
                <c:pt idx="3">
                  <c:v>3</c:v>
                </c:pt>
                <c:pt idx="4">
                  <c:v>2.7</c:v>
                </c:pt>
                <c:pt idx="5">
                  <c:v>3</c:v>
                </c:pt>
                <c:pt idx="6">
                  <c:v>3</c:v>
                </c:pt>
                <c:pt idx="7">
                  <c:v>2.6</c:v>
                </c:pt>
                <c:pt idx="8">
                  <c:v>2.2999999999999998</c:v>
                </c:pt>
              </c:numCache>
            </c:numRef>
          </c:val>
          <c:extLst>
            <c:ext xmlns:c16="http://schemas.microsoft.com/office/drawing/2014/chart" uri="{C3380CC4-5D6E-409C-BE32-E72D297353CC}">
              <c16:uniqueId val="{00000000-D16D-4E59-B8D9-C8763A292850}"/>
            </c:ext>
          </c:extLst>
        </c:ser>
        <c:dLbls>
          <c:showLegendKey val="0"/>
          <c:showVal val="0"/>
          <c:showCatName val="0"/>
          <c:showSerName val="0"/>
          <c:showPercent val="0"/>
          <c:showBubbleSize val="0"/>
        </c:dLbls>
        <c:axId val="467190512"/>
        <c:axId val="598618512"/>
      </c:radarChart>
      <c:catAx>
        <c:axId val="46719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8618512"/>
        <c:crosses val="autoZero"/>
        <c:auto val="1"/>
        <c:lblAlgn val="ctr"/>
        <c:lblOffset val="100"/>
        <c:noMultiLvlLbl val="0"/>
      </c:catAx>
      <c:valAx>
        <c:axId val="5986185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7190512"/>
        <c:crosses val="autoZero"/>
        <c:crossBetween val="between"/>
      </c:valAx>
      <c:spPr>
        <a:noFill/>
        <a:ln>
          <a:noFill/>
        </a:ln>
        <a:effectLst/>
      </c:spPr>
    </c:plotArea>
    <c:legend>
      <c:legendPos val="t"/>
      <c:layout>
        <c:manualLayout>
          <c:xMode val="edge"/>
          <c:yMode val="edge"/>
          <c:x val="0.80545284661997907"/>
          <c:y val="4.0071209761732431E-2"/>
          <c:w val="0.17830609212481427"/>
          <c:h val="5.514744480469353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SS13110823</dc:creator>
  <cp:lastModifiedBy>020448</cp:lastModifiedBy>
  <cp:revision>36</cp:revision>
  <cp:lastPrinted>2025-03-10T05:36:00Z</cp:lastPrinted>
  <dcterms:created xsi:type="dcterms:W3CDTF">2021-02-09T07:42:00Z</dcterms:created>
  <dcterms:modified xsi:type="dcterms:W3CDTF">2025-03-10T05:37:00Z</dcterms:modified>
</cp:coreProperties>
</file>